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BB36C" w14:textId="77777777" w:rsidR="00431349" w:rsidRDefault="00431349" w:rsidP="00F352D4">
      <w:pPr>
        <w:rPr>
          <w:rFonts w:cstheme="minorHAnsi"/>
          <w:sz w:val="18"/>
          <w:szCs w:val="18"/>
        </w:rPr>
      </w:pPr>
    </w:p>
    <w:tbl>
      <w:tblPr>
        <w:tblStyle w:val="TableGrid"/>
        <w:tblW w:w="13950" w:type="dxa"/>
        <w:tblInd w:w="-905" w:type="dxa"/>
        <w:tblLayout w:type="fixed"/>
        <w:tblLook w:val="04A0" w:firstRow="1" w:lastRow="0" w:firstColumn="1" w:lastColumn="0" w:noHBand="0" w:noVBand="1"/>
      </w:tblPr>
      <w:tblGrid>
        <w:gridCol w:w="293"/>
        <w:gridCol w:w="2947"/>
        <w:gridCol w:w="1530"/>
        <w:gridCol w:w="9180"/>
      </w:tblGrid>
      <w:tr w:rsidR="0083124C" w:rsidRPr="00F222A0" w14:paraId="7B8F0176" w14:textId="77777777" w:rsidTr="006874AA">
        <w:trPr>
          <w:trHeight w:val="299"/>
        </w:trPr>
        <w:tc>
          <w:tcPr>
            <w:tcW w:w="13950" w:type="dxa"/>
            <w:gridSpan w:val="4"/>
            <w:shd w:val="clear" w:color="auto" w:fill="FFFF00"/>
          </w:tcPr>
          <w:p w14:paraId="70A4C10D" w14:textId="77777777" w:rsidR="0083124C" w:rsidRPr="00F222A0" w:rsidRDefault="007C20EB" w:rsidP="006874AA">
            <w:pPr>
              <w:rPr>
                <w:rFonts w:cstheme="minorHAnsi"/>
                <w:b/>
                <w:sz w:val="18"/>
                <w:szCs w:val="18"/>
              </w:rPr>
            </w:pPr>
            <w:r>
              <w:rPr>
                <w:rFonts w:cstheme="minorHAnsi"/>
                <w:b/>
                <w:sz w:val="18"/>
                <w:szCs w:val="18"/>
              </w:rPr>
              <w:t>MINISTRY OF ECONOMY AND SUSTAINABLE DEVELOPMENT OF GEOGIA</w:t>
            </w:r>
          </w:p>
        </w:tc>
      </w:tr>
      <w:tr w:rsidR="0083124C" w:rsidRPr="00C90293" w14:paraId="35D503E8" w14:textId="77777777" w:rsidTr="006874AA">
        <w:trPr>
          <w:trHeight w:val="299"/>
        </w:trPr>
        <w:tc>
          <w:tcPr>
            <w:tcW w:w="293" w:type="dxa"/>
            <w:shd w:val="clear" w:color="auto" w:fill="B4C6E7" w:themeFill="accent5" w:themeFillTint="66"/>
          </w:tcPr>
          <w:p w14:paraId="383801E1" w14:textId="77777777" w:rsidR="0083124C" w:rsidRPr="00C90293" w:rsidRDefault="0083124C" w:rsidP="006874AA">
            <w:pPr>
              <w:rPr>
                <w:rFonts w:cstheme="minorHAnsi"/>
                <w:sz w:val="18"/>
                <w:szCs w:val="18"/>
              </w:rPr>
            </w:pPr>
          </w:p>
        </w:tc>
        <w:tc>
          <w:tcPr>
            <w:tcW w:w="2947" w:type="dxa"/>
            <w:shd w:val="clear" w:color="auto" w:fill="B4C6E7" w:themeFill="accent5" w:themeFillTint="66"/>
          </w:tcPr>
          <w:p w14:paraId="57ACF1DF" w14:textId="77777777" w:rsidR="0083124C" w:rsidRPr="00C90293" w:rsidRDefault="0083124C" w:rsidP="006874AA">
            <w:pPr>
              <w:rPr>
                <w:rFonts w:cstheme="minorHAnsi"/>
                <w:sz w:val="18"/>
                <w:szCs w:val="18"/>
              </w:rPr>
            </w:pPr>
            <w:r>
              <w:rPr>
                <w:rFonts w:cstheme="minorHAnsi"/>
                <w:sz w:val="18"/>
                <w:szCs w:val="18"/>
              </w:rPr>
              <w:t>Activity</w:t>
            </w:r>
          </w:p>
        </w:tc>
        <w:tc>
          <w:tcPr>
            <w:tcW w:w="1530" w:type="dxa"/>
            <w:shd w:val="clear" w:color="auto" w:fill="B4C6E7" w:themeFill="accent5" w:themeFillTint="66"/>
          </w:tcPr>
          <w:p w14:paraId="20C7EFC0" w14:textId="77777777" w:rsidR="0083124C" w:rsidRPr="00C90293" w:rsidRDefault="0083124C" w:rsidP="006874AA">
            <w:pPr>
              <w:rPr>
                <w:rFonts w:cstheme="minorHAnsi"/>
                <w:sz w:val="18"/>
                <w:szCs w:val="18"/>
              </w:rPr>
            </w:pPr>
            <w:r w:rsidRPr="00C90293">
              <w:rPr>
                <w:rFonts w:cstheme="minorHAnsi"/>
                <w:sz w:val="18"/>
                <w:szCs w:val="18"/>
              </w:rPr>
              <w:t>Dates of implementation</w:t>
            </w:r>
          </w:p>
          <w:p w14:paraId="31455644" w14:textId="77777777" w:rsidR="0083124C" w:rsidRPr="00C90293" w:rsidRDefault="0083124C" w:rsidP="006874AA">
            <w:pPr>
              <w:rPr>
                <w:rFonts w:cstheme="minorHAnsi"/>
                <w:sz w:val="18"/>
                <w:szCs w:val="18"/>
              </w:rPr>
            </w:pPr>
            <w:r w:rsidRPr="00C90293">
              <w:rPr>
                <w:rFonts w:cstheme="minorHAnsi"/>
                <w:sz w:val="18"/>
                <w:szCs w:val="18"/>
              </w:rPr>
              <w:t>(2020</w:t>
            </w:r>
            <w:r>
              <w:rPr>
                <w:rFonts w:cstheme="minorHAnsi"/>
                <w:sz w:val="18"/>
                <w:szCs w:val="18"/>
              </w:rPr>
              <w:t>-2021</w:t>
            </w:r>
            <w:r w:rsidRPr="00C90293">
              <w:rPr>
                <w:rFonts w:cstheme="minorHAnsi"/>
                <w:sz w:val="18"/>
                <w:szCs w:val="18"/>
              </w:rPr>
              <w:t xml:space="preserve">) </w:t>
            </w:r>
          </w:p>
        </w:tc>
        <w:tc>
          <w:tcPr>
            <w:tcW w:w="9180" w:type="dxa"/>
            <w:shd w:val="clear" w:color="auto" w:fill="B4C6E7" w:themeFill="accent5" w:themeFillTint="66"/>
          </w:tcPr>
          <w:p w14:paraId="4C0B4D69" w14:textId="77777777" w:rsidR="0083124C" w:rsidRPr="00C90293" w:rsidRDefault="0083124C" w:rsidP="006874AA">
            <w:pPr>
              <w:rPr>
                <w:rFonts w:cstheme="minorHAnsi"/>
                <w:sz w:val="18"/>
                <w:szCs w:val="18"/>
              </w:rPr>
            </w:pPr>
            <w:r w:rsidRPr="00C90293">
              <w:rPr>
                <w:rFonts w:cstheme="minorHAnsi"/>
                <w:sz w:val="18"/>
                <w:szCs w:val="18"/>
              </w:rPr>
              <w:t>Comment/Justification/</w:t>
            </w:r>
          </w:p>
          <w:p w14:paraId="68A5A5C2" w14:textId="77777777" w:rsidR="0083124C" w:rsidRPr="00C90293" w:rsidRDefault="0083124C" w:rsidP="006874AA">
            <w:pPr>
              <w:rPr>
                <w:rFonts w:cstheme="minorHAnsi"/>
                <w:sz w:val="18"/>
                <w:szCs w:val="18"/>
              </w:rPr>
            </w:pPr>
            <w:r w:rsidRPr="00C90293">
              <w:rPr>
                <w:rFonts w:cstheme="minorHAnsi"/>
                <w:sz w:val="18"/>
                <w:szCs w:val="18"/>
              </w:rPr>
              <w:t>Baseline</w:t>
            </w:r>
          </w:p>
        </w:tc>
      </w:tr>
      <w:tr w:rsidR="004F3720" w:rsidRPr="00C90293" w14:paraId="1D1B69DA" w14:textId="77777777" w:rsidTr="00B825CE">
        <w:trPr>
          <w:trHeight w:val="299"/>
        </w:trPr>
        <w:tc>
          <w:tcPr>
            <w:tcW w:w="293" w:type="dxa"/>
            <w:shd w:val="clear" w:color="auto" w:fill="B4C6E7" w:themeFill="accent5" w:themeFillTint="66"/>
          </w:tcPr>
          <w:p w14:paraId="7BFC7318" w14:textId="77777777" w:rsidR="004F3720" w:rsidRPr="00C90293" w:rsidRDefault="004F3720" w:rsidP="004F3720">
            <w:pPr>
              <w:rPr>
                <w:rFonts w:cstheme="minorHAnsi"/>
                <w:sz w:val="18"/>
                <w:szCs w:val="18"/>
              </w:rPr>
            </w:pPr>
          </w:p>
        </w:tc>
        <w:tc>
          <w:tcPr>
            <w:tcW w:w="2947" w:type="dxa"/>
          </w:tcPr>
          <w:p w14:paraId="0C0DACB2" w14:textId="77777777" w:rsidR="004F3720" w:rsidRPr="00EF2250" w:rsidRDefault="004F3720" w:rsidP="004F3720">
            <w:pPr>
              <w:rPr>
                <w:rFonts w:cstheme="minorHAnsi"/>
                <w:sz w:val="18"/>
                <w:szCs w:val="18"/>
              </w:rPr>
            </w:pPr>
            <w:r w:rsidRPr="00EF2250">
              <w:rPr>
                <w:rFonts w:cstheme="minorHAnsi"/>
                <w:sz w:val="18"/>
                <w:szCs w:val="18"/>
              </w:rPr>
              <w:t>Management training covering the following topics:</w:t>
            </w:r>
          </w:p>
          <w:p w14:paraId="03A6DF97"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Management and leadership;</w:t>
            </w:r>
          </w:p>
          <w:p w14:paraId="33DC5CCD"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Prioritization, decision making;</w:t>
            </w:r>
          </w:p>
          <w:p w14:paraId="27E1001D"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Strategic Planning and Strategic Assessment;</w:t>
            </w:r>
          </w:p>
          <w:p w14:paraId="7DCE11A1"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Work Planning Aims and Objectives;</w:t>
            </w:r>
          </w:p>
          <w:p w14:paraId="6587370F"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Efficient management of time and data;</w:t>
            </w:r>
          </w:p>
          <w:p w14:paraId="0F58381B"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Performance management;</w:t>
            </w:r>
          </w:p>
          <w:p w14:paraId="466D2EBD"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Measuring Performance: Outputs, Outcomes and Impacts;</w:t>
            </w:r>
          </w:p>
          <w:p w14:paraId="65A6D4B6"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Measuring Success;</w:t>
            </w:r>
          </w:p>
          <w:p w14:paraId="4C3B31F8"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Quantitative and Qualitative analysis;</w:t>
            </w:r>
          </w:p>
          <w:p w14:paraId="15F8C77F" w14:textId="77777777" w:rsidR="004F3720" w:rsidRPr="00EF2250" w:rsidRDefault="004F3720" w:rsidP="004F3720">
            <w:pPr>
              <w:pStyle w:val="ListParagraph"/>
              <w:numPr>
                <w:ilvl w:val="0"/>
                <w:numId w:val="7"/>
              </w:numPr>
              <w:ind w:left="256" w:hanging="184"/>
              <w:rPr>
                <w:rFonts w:cstheme="minorHAnsi"/>
                <w:sz w:val="18"/>
                <w:szCs w:val="18"/>
              </w:rPr>
            </w:pPr>
            <w:r w:rsidRPr="00EF2250">
              <w:rPr>
                <w:rFonts w:cstheme="minorHAnsi"/>
                <w:sz w:val="18"/>
                <w:szCs w:val="18"/>
              </w:rPr>
              <w:t>Reporting;</w:t>
            </w:r>
          </w:p>
          <w:p w14:paraId="1ED8580E" w14:textId="040A02CC" w:rsidR="004F3720" w:rsidRDefault="004F3720" w:rsidP="004F3720">
            <w:pPr>
              <w:rPr>
                <w:rFonts w:cstheme="minorHAnsi"/>
                <w:sz w:val="18"/>
                <w:szCs w:val="18"/>
              </w:rPr>
            </w:pPr>
            <w:r w:rsidRPr="00EF2250">
              <w:rPr>
                <w:rFonts w:cstheme="minorHAnsi"/>
                <w:sz w:val="18"/>
                <w:szCs w:val="18"/>
              </w:rPr>
              <w:t>Communicating with Consumers.</w:t>
            </w:r>
          </w:p>
        </w:tc>
        <w:tc>
          <w:tcPr>
            <w:tcW w:w="1530" w:type="dxa"/>
          </w:tcPr>
          <w:p w14:paraId="6CB6E022" w14:textId="0F19ED4E" w:rsidR="004F3720" w:rsidRPr="00C90293" w:rsidRDefault="004F3720" w:rsidP="004F3720">
            <w:pPr>
              <w:rPr>
                <w:rFonts w:cstheme="minorHAnsi"/>
                <w:sz w:val="18"/>
                <w:szCs w:val="18"/>
              </w:rPr>
            </w:pPr>
            <w:r w:rsidRPr="00EF2250">
              <w:rPr>
                <w:rFonts w:cstheme="minorHAnsi"/>
                <w:sz w:val="18"/>
                <w:szCs w:val="18"/>
              </w:rPr>
              <w:t>September</w:t>
            </w:r>
            <w:r w:rsidRPr="00EF2250">
              <w:rPr>
                <w:rFonts w:cstheme="minorHAnsi"/>
                <w:sz w:val="18"/>
                <w:szCs w:val="18"/>
                <w:lang w:val="ka-GE"/>
              </w:rPr>
              <w:t xml:space="preserve"> </w:t>
            </w:r>
            <w:r w:rsidRPr="00EF2250">
              <w:rPr>
                <w:rFonts w:cstheme="minorHAnsi"/>
                <w:sz w:val="18"/>
                <w:szCs w:val="18"/>
              </w:rPr>
              <w:t>– October 2020</w:t>
            </w:r>
            <w:r w:rsidRPr="00EF2250">
              <w:rPr>
                <w:rFonts w:cstheme="minorHAnsi"/>
                <w:sz w:val="18"/>
                <w:szCs w:val="18"/>
                <w:lang w:val="ka-GE"/>
              </w:rPr>
              <w:t xml:space="preserve"> </w:t>
            </w:r>
          </w:p>
        </w:tc>
        <w:tc>
          <w:tcPr>
            <w:tcW w:w="9180" w:type="dxa"/>
          </w:tcPr>
          <w:p w14:paraId="70B18EB8" w14:textId="77777777" w:rsidR="004F3720" w:rsidRDefault="004F3720" w:rsidP="004F3720">
            <w:pPr>
              <w:rPr>
                <w:rFonts w:cstheme="minorHAnsi"/>
                <w:sz w:val="18"/>
                <w:szCs w:val="18"/>
              </w:rPr>
            </w:pPr>
            <w:r w:rsidRPr="00EF2250">
              <w:rPr>
                <w:rFonts w:cstheme="minorHAnsi"/>
                <w:sz w:val="18"/>
                <w:szCs w:val="18"/>
              </w:rPr>
              <w:t xml:space="preserve">Implementation of the ambitious DCFTA agenda demands from implementing agencies to apply considerable effort to the enforcement of the approximated legislation. In this process managerial skills will be of vital importance for their performance. Training will be attended by the managers from institutions involved in implementation of DCFTA. It is perceived that the training of young mangers would not only provide for the missing skills but would also contribute to better communication and collaboration of institutions in future implementation of the Agreement.  </w:t>
            </w:r>
          </w:p>
          <w:p w14:paraId="66BD0A53" w14:textId="77777777" w:rsidR="004F3720" w:rsidRDefault="004F3720" w:rsidP="004F3720">
            <w:pPr>
              <w:rPr>
                <w:rFonts w:cstheme="minorHAnsi"/>
                <w:sz w:val="18"/>
                <w:szCs w:val="18"/>
              </w:rPr>
            </w:pPr>
          </w:p>
          <w:p w14:paraId="3EC16A65" w14:textId="77777777" w:rsidR="004F3720" w:rsidRPr="00C90293" w:rsidRDefault="004F3720" w:rsidP="004F3720">
            <w:pPr>
              <w:rPr>
                <w:rFonts w:cstheme="minorHAnsi"/>
                <w:sz w:val="18"/>
                <w:szCs w:val="18"/>
              </w:rPr>
            </w:pPr>
          </w:p>
        </w:tc>
      </w:tr>
    </w:tbl>
    <w:p w14:paraId="5F9002F6" w14:textId="77777777" w:rsidR="004F5CB6" w:rsidRDefault="004F5CB6" w:rsidP="00F352D4">
      <w:pPr>
        <w:rPr>
          <w:rFonts w:cstheme="minorHAnsi"/>
          <w:sz w:val="18"/>
          <w:szCs w:val="18"/>
        </w:rPr>
      </w:pPr>
    </w:p>
    <w:p w14:paraId="32CE8417" w14:textId="77777777" w:rsidR="004F5CB6" w:rsidRPr="00C90293" w:rsidRDefault="004F5CB6" w:rsidP="00F352D4">
      <w:pPr>
        <w:rPr>
          <w:rFonts w:cstheme="minorHAnsi"/>
          <w:sz w:val="18"/>
          <w:szCs w:val="18"/>
        </w:rPr>
      </w:pPr>
    </w:p>
    <w:tbl>
      <w:tblPr>
        <w:tblStyle w:val="TableGrid"/>
        <w:tblW w:w="13950" w:type="dxa"/>
        <w:tblInd w:w="-905" w:type="dxa"/>
        <w:tblLayout w:type="fixed"/>
        <w:tblLook w:val="04A0" w:firstRow="1" w:lastRow="0" w:firstColumn="1" w:lastColumn="0" w:noHBand="0" w:noVBand="1"/>
      </w:tblPr>
      <w:tblGrid>
        <w:gridCol w:w="293"/>
        <w:gridCol w:w="2947"/>
        <w:gridCol w:w="1530"/>
        <w:gridCol w:w="9180"/>
      </w:tblGrid>
      <w:tr w:rsidR="00F222A0" w:rsidRPr="00C90293" w14:paraId="305ACCEF" w14:textId="77777777" w:rsidTr="00F222A0">
        <w:trPr>
          <w:trHeight w:val="299"/>
        </w:trPr>
        <w:tc>
          <w:tcPr>
            <w:tcW w:w="13950" w:type="dxa"/>
            <w:gridSpan w:val="4"/>
            <w:shd w:val="clear" w:color="auto" w:fill="FFFF00"/>
          </w:tcPr>
          <w:p w14:paraId="37AE2F56" w14:textId="77777777" w:rsidR="00F222A0" w:rsidRPr="00F222A0" w:rsidRDefault="00F222A0" w:rsidP="00F352D4">
            <w:pPr>
              <w:rPr>
                <w:rFonts w:cstheme="minorHAnsi"/>
                <w:b/>
                <w:sz w:val="18"/>
                <w:szCs w:val="18"/>
              </w:rPr>
            </w:pPr>
            <w:r w:rsidRPr="00F222A0">
              <w:rPr>
                <w:rFonts w:cstheme="minorHAnsi"/>
                <w:b/>
                <w:sz w:val="18"/>
                <w:szCs w:val="18"/>
              </w:rPr>
              <w:t>MARKET SURVEILLANCE AGENCY, Ministry of Sustainable Development and Economy</w:t>
            </w:r>
          </w:p>
        </w:tc>
      </w:tr>
      <w:tr w:rsidR="00F749A7" w:rsidRPr="00C90293" w14:paraId="6E875B5B" w14:textId="77777777" w:rsidTr="00F222A0">
        <w:trPr>
          <w:trHeight w:val="299"/>
        </w:trPr>
        <w:tc>
          <w:tcPr>
            <w:tcW w:w="293" w:type="dxa"/>
            <w:shd w:val="clear" w:color="auto" w:fill="B4C6E7" w:themeFill="accent5" w:themeFillTint="66"/>
          </w:tcPr>
          <w:p w14:paraId="2674CCBC" w14:textId="77777777" w:rsidR="00F749A7" w:rsidRPr="00C90293" w:rsidRDefault="00F749A7" w:rsidP="00F352D4">
            <w:pPr>
              <w:rPr>
                <w:rFonts w:cstheme="minorHAnsi"/>
                <w:sz w:val="18"/>
                <w:szCs w:val="18"/>
              </w:rPr>
            </w:pPr>
          </w:p>
        </w:tc>
        <w:tc>
          <w:tcPr>
            <w:tcW w:w="2947" w:type="dxa"/>
            <w:shd w:val="clear" w:color="auto" w:fill="B4C6E7" w:themeFill="accent5" w:themeFillTint="66"/>
          </w:tcPr>
          <w:p w14:paraId="69DF0EF4" w14:textId="77777777" w:rsidR="00F749A7" w:rsidRPr="00C90293" w:rsidRDefault="00F222A0" w:rsidP="00F352D4">
            <w:pPr>
              <w:rPr>
                <w:rFonts w:cstheme="minorHAnsi"/>
                <w:sz w:val="18"/>
                <w:szCs w:val="18"/>
              </w:rPr>
            </w:pPr>
            <w:r>
              <w:rPr>
                <w:rFonts w:cstheme="minorHAnsi"/>
                <w:sz w:val="18"/>
                <w:szCs w:val="18"/>
              </w:rPr>
              <w:t>Activity</w:t>
            </w:r>
          </w:p>
        </w:tc>
        <w:tc>
          <w:tcPr>
            <w:tcW w:w="1530" w:type="dxa"/>
            <w:shd w:val="clear" w:color="auto" w:fill="B4C6E7" w:themeFill="accent5" w:themeFillTint="66"/>
          </w:tcPr>
          <w:p w14:paraId="2D4D8B7F" w14:textId="77777777" w:rsidR="00F749A7" w:rsidRPr="00C90293" w:rsidRDefault="00F749A7" w:rsidP="00F352D4">
            <w:pPr>
              <w:rPr>
                <w:rFonts w:cstheme="minorHAnsi"/>
                <w:sz w:val="18"/>
                <w:szCs w:val="18"/>
              </w:rPr>
            </w:pPr>
            <w:r w:rsidRPr="00C90293">
              <w:rPr>
                <w:rFonts w:cstheme="minorHAnsi"/>
                <w:sz w:val="18"/>
                <w:szCs w:val="18"/>
              </w:rPr>
              <w:t>Dates of implementation</w:t>
            </w:r>
          </w:p>
          <w:p w14:paraId="12ED4D59" w14:textId="77777777" w:rsidR="00F749A7" w:rsidRPr="00C90293" w:rsidRDefault="00F749A7" w:rsidP="00F352D4">
            <w:pPr>
              <w:rPr>
                <w:rFonts w:cstheme="minorHAnsi"/>
                <w:sz w:val="18"/>
                <w:szCs w:val="18"/>
              </w:rPr>
            </w:pPr>
            <w:r w:rsidRPr="00C90293">
              <w:rPr>
                <w:rFonts w:cstheme="minorHAnsi"/>
                <w:sz w:val="18"/>
                <w:szCs w:val="18"/>
              </w:rPr>
              <w:t>(2020</w:t>
            </w:r>
            <w:r w:rsidR="00FB4EC3">
              <w:rPr>
                <w:rFonts w:cstheme="minorHAnsi"/>
                <w:sz w:val="18"/>
                <w:szCs w:val="18"/>
              </w:rPr>
              <w:t>-2021</w:t>
            </w:r>
            <w:r w:rsidRPr="00C90293">
              <w:rPr>
                <w:rFonts w:cstheme="minorHAnsi"/>
                <w:sz w:val="18"/>
                <w:szCs w:val="18"/>
              </w:rPr>
              <w:t xml:space="preserve">) </w:t>
            </w:r>
          </w:p>
        </w:tc>
        <w:tc>
          <w:tcPr>
            <w:tcW w:w="9180" w:type="dxa"/>
            <w:shd w:val="clear" w:color="auto" w:fill="B4C6E7" w:themeFill="accent5" w:themeFillTint="66"/>
          </w:tcPr>
          <w:p w14:paraId="34BD0A60" w14:textId="77777777" w:rsidR="00F749A7" w:rsidRPr="00C90293" w:rsidRDefault="00F749A7" w:rsidP="00F352D4">
            <w:pPr>
              <w:rPr>
                <w:rFonts w:cstheme="minorHAnsi"/>
                <w:sz w:val="18"/>
                <w:szCs w:val="18"/>
              </w:rPr>
            </w:pPr>
            <w:r w:rsidRPr="00C90293">
              <w:rPr>
                <w:rFonts w:cstheme="minorHAnsi"/>
                <w:sz w:val="18"/>
                <w:szCs w:val="18"/>
              </w:rPr>
              <w:t>Comment/Justification/</w:t>
            </w:r>
          </w:p>
          <w:p w14:paraId="5343E3CF" w14:textId="77777777" w:rsidR="00F749A7" w:rsidRPr="00C90293" w:rsidRDefault="00F749A7" w:rsidP="00F352D4">
            <w:pPr>
              <w:rPr>
                <w:rFonts w:cstheme="minorHAnsi"/>
                <w:sz w:val="18"/>
                <w:szCs w:val="18"/>
              </w:rPr>
            </w:pPr>
            <w:r w:rsidRPr="00C90293">
              <w:rPr>
                <w:rFonts w:cstheme="minorHAnsi"/>
                <w:sz w:val="18"/>
                <w:szCs w:val="18"/>
              </w:rPr>
              <w:t>Baseline</w:t>
            </w:r>
          </w:p>
        </w:tc>
      </w:tr>
      <w:tr w:rsidR="0055163F" w:rsidRPr="00C90293" w14:paraId="633B8560" w14:textId="77777777" w:rsidTr="00F222A0">
        <w:trPr>
          <w:trHeight w:val="573"/>
        </w:trPr>
        <w:tc>
          <w:tcPr>
            <w:tcW w:w="293" w:type="dxa"/>
          </w:tcPr>
          <w:p w14:paraId="59C8A61F" w14:textId="77777777" w:rsidR="0055163F" w:rsidRPr="00C90293" w:rsidRDefault="0055163F" w:rsidP="0055163F">
            <w:pPr>
              <w:pStyle w:val="ListParagraph"/>
              <w:numPr>
                <w:ilvl w:val="0"/>
                <w:numId w:val="2"/>
              </w:numPr>
              <w:rPr>
                <w:rFonts w:cstheme="minorHAnsi"/>
                <w:sz w:val="18"/>
                <w:szCs w:val="18"/>
              </w:rPr>
            </w:pPr>
          </w:p>
        </w:tc>
        <w:tc>
          <w:tcPr>
            <w:tcW w:w="2947" w:type="dxa"/>
          </w:tcPr>
          <w:p w14:paraId="0199DB0B" w14:textId="77777777" w:rsidR="0055163F" w:rsidRPr="00C672EA" w:rsidRDefault="0055163F" w:rsidP="0055163F">
            <w:pPr>
              <w:rPr>
                <w:rFonts w:cstheme="minorHAnsi"/>
                <w:sz w:val="18"/>
                <w:szCs w:val="18"/>
              </w:rPr>
            </w:pPr>
            <w:r w:rsidRPr="00C672EA">
              <w:rPr>
                <w:rFonts w:cstheme="minorHAnsi"/>
                <w:sz w:val="18"/>
                <w:szCs w:val="18"/>
              </w:rPr>
              <w:t xml:space="preserve">Risk Assessment </w:t>
            </w:r>
          </w:p>
          <w:p w14:paraId="0674D811" w14:textId="77777777" w:rsidR="0055163F" w:rsidRPr="00C672EA" w:rsidRDefault="0055163F" w:rsidP="0055163F">
            <w:pPr>
              <w:pStyle w:val="ListParagraph"/>
              <w:numPr>
                <w:ilvl w:val="0"/>
                <w:numId w:val="5"/>
              </w:numPr>
              <w:ind w:left="436"/>
              <w:rPr>
                <w:rFonts w:cstheme="minorHAnsi"/>
                <w:color w:val="000000" w:themeColor="text1"/>
                <w:sz w:val="18"/>
                <w:szCs w:val="18"/>
              </w:rPr>
            </w:pPr>
            <w:r w:rsidRPr="00C672EA">
              <w:rPr>
                <w:rFonts w:cstheme="minorHAnsi"/>
                <w:color w:val="000000" w:themeColor="text1"/>
                <w:sz w:val="18"/>
                <w:szCs w:val="18"/>
              </w:rPr>
              <w:t>To develop a risk assessment system</w:t>
            </w:r>
          </w:p>
          <w:p w14:paraId="4B91B7F4" w14:textId="77777777" w:rsidR="0055163F" w:rsidRPr="00C672EA" w:rsidRDefault="0055163F" w:rsidP="0055163F">
            <w:pPr>
              <w:pStyle w:val="ListParagraph"/>
              <w:numPr>
                <w:ilvl w:val="0"/>
                <w:numId w:val="5"/>
              </w:numPr>
              <w:ind w:left="432"/>
              <w:rPr>
                <w:rFonts w:cstheme="minorHAnsi"/>
                <w:sz w:val="18"/>
                <w:szCs w:val="18"/>
              </w:rPr>
            </w:pPr>
            <w:r w:rsidRPr="00C672EA">
              <w:rPr>
                <w:rFonts w:cstheme="minorHAnsi"/>
                <w:sz w:val="18"/>
                <w:szCs w:val="18"/>
              </w:rPr>
              <w:t>To provide the related software;</w:t>
            </w:r>
          </w:p>
        </w:tc>
        <w:tc>
          <w:tcPr>
            <w:tcW w:w="1530" w:type="dxa"/>
          </w:tcPr>
          <w:p w14:paraId="304ADE52" w14:textId="77777777" w:rsidR="0055163F" w:rsidRPr="00C672EA" w:rsidRDefault="0055163F" w:rsidP="0055163F">
            <w:r w:rsidRPr="00C672EA">
              <w:rPr>
                <w:rFonts w:cstheme="minorHAnsi"/>
                <w:sz w:val="18"/>
                <w:szCs w:val="18"/>
              </w:rPr>
              <w:t>September</w:t>
            </w:r>
            <w:r w:rsidRPr="00C672EA">
              <w:rPr>
                <w:rFonts w:cstheme="minorHAnsi"/>
                <w:sz w:val="18"/>
                <w:szCs w:val="18"/>
                <w:lang w:val="ka-GE"/>
              </w:rPr>
              <w:t xml:space="preserve"> </w:t>
            </w:r>
            <w:r w:rsidRPr="00C672EA">
              <w:rPr>
                <w:rFonts w:cstheme="minorHAnsi"/>
                <w:sz w:val="18"/>
                <w:szCs w:val="18"/>
              </w:rPr>
              <w:t>2020</w:t>
            </w:r>
            <w:r w:rsidRPr="00C672EA">
              <w:rPr>
                <w:rFonts w:cstheme="minorHAnsi"/>
                <w:sz w:val="18"/>
                <w:szCs w:val="18"/>
                <w:lang w:val="ka-GE"/>
              </w:rPr>
              <w:t xml:space="preserve"> – </w:t>
            </w:r>
            <w:r w:rsidRPr="00C672EA">
              <w:rPr>
                <w:rFonts w:cstheme="minorHAnsi"/>
                <w:sz w:val="18"/>
                <w:szCs w:val="18"/>
              </w:rPr>
              <w:t xml:space="preserve">April </w:t>
            </w:r>
            <w:r w:rsidRPr="00C672EA">
              <w:rPr>
                <w:rFonts w:cstheme="minorHAnsi"/>
                <w:sz w:val="18"/>
                <w:szCs w:val="18"/>
                <w:lang w:val="ka-GE"/>
              </w:rPr>
              <w:t>2021</w:t>
            </w:r>
          </w:p>
        </w:tc>
        <w:tc>
          <w:tcPr>
            <w:tcW w:w="9180" w:type="dxa"/>
          </w:tcPr>
          <w:p w14:paraId="433FBFBD" w14:textId="77777777" w:rsidR="0055163F" w:rsidRPr="00C672EA" w:rsidRDefault="0055163F" w:rsidP="0055163F">
            <w:pPr>
              <w:rPr>
                <w:rFonts w:cstheme="minorHAnsi"/>
                <w:sz w:val="18"/>
                <w:szCs w:val="18"/>
              </w:rPr>
            </w:pPr>
            <w:r w:rsidRPr="00C672EA">
              <w:rPr>
                <w:rFonts w:cstheme="minorHAnsi"/>
                <w:sz w:val="18"/>
                <w:szCs w:val="18"/>
              </w:rPr>
              <w:t xml:space="preserve">Risk Assessment is essential for the MSA to perform effective market surveillance. </w:t>
            </w:r>
            <w:proofErr w:type="gramStart"/>
            <w:r w:rsidRPr="00C672EA">
              <w:rPr>
                <w:rFonts w:cstheme="minorHAnsi"/>
                <w:sz w:val="18"/>
                <w:szCs w:val="18"/>
              </w:rPr>
              <w:t>In particular, to</w:t>
            </w:r>
            <w:proofErr w:type="gramEnd"/>
            <w:r w:rsidRPr="00C672EA">
              <w:rPr>
                <w:rFonts w:cstheme="minorHAnsi"/>
                <w:sz w:val="18"/>
                <w:szCs w:val="18"/>
              </w:rPr>
              <w:t xml:space="preserve"> analyze and determine main priorities of market surveillance activities on the basis of gathered information. MSA risk assessment system needs to be developed in this regard.</w:t>
            </w:r>
          </w:p>
          <w:p w14:paraId="7FAB883A" w14:textId="77777777" w:rsidR="0055163F" w:rsidRPr="00C672EA" w:rsidRDefault="0055163F" w:rsidP="0055163F">
            <w:pPr>
              <w:rPr>
                <w:rFonts w:cstheme="minorHAnsi"/>
                <w:sz w:val="18"/>
                <w:szCs w:val="18"/>
              </w:rPr>
            </w:pPr>
            <w:r w:rsidRPr="00C672EA">
              <w:rPr>
                <w:rFonts w:cstheme="minorHAnsi"/>
                <w:sz w:val="18"/>
                <w:szCs w:val="18"/>
              </w:rPr>
              <w:t>The related Risk Assessment software should enable collecting, analyzing, calculating, filtering statistical data in accordance with given determinants, so that MSA inspectors and management could prioritize products within the scope of market surveillance.</w:t>
            </w:r>
          </w:p>
          <w:p w14:paraId="72961FB7" w14:textId="77777777" w:rsidR="0055163F" w:rsidRPr="00C672EA" w:rsidRDefault="0055163F" w:rsidP="0055163F">
            <w:pPr>
              <w:rPr>
                <w:rFonts w:cstheme="minorHAnsi"/>
                <w:sz w:val="18"/>
                <w:szCs w:val="18"/>
              </w:rPr>
            </w:pPr>
            <w:r w:rsidRPr="00C672EA">
              <w:rPr>
                <w:rFonts w:cstheme="minorHAnsi"/>
                <w:sz w:val="18"/>
                <w:szCs w:val="18"/>
              </w:rPr>
              <w:t>Through Twinning, activities have been carried out on the topic of risk assessment. However, they have been of introductory nature, namely introducing a Business Risk Assessment Scheme as used by market surveillance authorities in the UK. The MSA staff has been provided with an outline scheme, however further assistance is needed on how to practically implement the system of the risk assessment. In this context an electronic database, holding all the information on the businesses, products, inspection, sampling, complaint records and the risk score is essential.</w:t>
            </w:r>
          </w:p>
          <w:p w14:paraId="044B990F" w14:textId="77777777" w:rsidR="0055163F" w:rsidRPr="00C672EA" w:rsidRDefault="0055163F" w:rsidP="0055163F">
            <w:pPr>
              <w:rPr>
                <w:rFonts w:cstheme="minorHAnsi"/>
                <w:sz w:val="18"/>
                <w:szCs w:val="18"/>
                <w:lang w:val="ka-GE"/>
              </w:rPr>
            </w:pPr>
          </w:p>
        </w:tc>
      </w:tr>
      <w:tr w:rsidR="0055163F" w:rsidRPr="00C90293" w14:paraId="183896AA" w14:textId="77777777" w:rsidTr="00F222A0">
        <w:trPr>
          <w:trHeight w:val="573"/>
        </w:trPr>
        <w:tc>
          <w:tcPr>
            <w:tcW w:w="293" w:type="dxa"/>
          </w:tcPr>
          <w:p w14:paraId="7D78A52A" w14:textId="77777777" w:rsidR="0055163F" w:rsidRPr="00C90293" w:rsidRDefault="0055163F" w:rsidP="0055163F">
            <w:pPr>
              <w:pStyle w:val="ListParagraph"/>
              <w:numPr>
                <w:ilvl w:val="0"/>
                <w:numId w:val="2"/>
              </w:numPr>
              <w:rPr>
                <w:rFonts w:cstheme="minorHAnsi"/>
                <w:sz w:val="18"/>
                <w:szCs w:val="18"/>
                <w:lang w:val="ka-GE"/>
              </w:rPr>
            </w:pPr>
          </w:p>
        </w:tc>
        <w:tc>
          <w:tcPr>
            <w:tcW w:w="2947" w:type="dxa"/>
          </w:tcPr>
          <w:p w14:paraId="18652EAD" w14:textId="77777777" w:rsidR="0055163F" w:rsidRPr="00C672EA" w:rsidRDefault="0055163F" w:rsidP="0055163F">
            <w:pPr>
              <w:rPr>
                <w:rFonts w:cstheme="minorHAnsi"/>
                <w:color w:val="000000" w:themeColor="text1"/>
                <w:sz w:val="18"/>
                <w:szCs w:val="18"/>
              </w:rPr>
            </w:pPr>
            <w:r w:rsidRPr="00C672EA">
              <w:rPr>
                <w:rFonts w:cstheme="minorHAnsi"/>
                <w:color w:val="000000" w:themeColor="text1"/>
                <w:sz w:val="18"/>
                <w:szCs w:val="18"/>
              </w:rPr>
              <w:t>Awareness raising</w:t>
            </w:r>
          </w:p>
          <w:p w14:paraId="7CBC6468" w14:textId="77777777" w:rsidR="0055163F" w:rsidRPr="00C672EA" w:rsidRDefault="0055163F" w:rsidP="0055163F">
            <w:pPr>
              <w:pStyle w:val="ListParagraph"/>
              <w:numPr>
                <w:ilvl w:val="0"/>
                <w:numId w:val="10"/>
              </w:numPr>
              <w:ind w:left="346"/>
              <w:rPr>
                <w:rFonts w:cstheme="minorHAnsi"/>
                <w:color w:val="000000" w:themeColor="text1"/>
                <w:sz w:val="18"/>
                <w:szCs w:val="18"/>
              </w:rPr>
            </w:pPr>
            <w:r w:rsidRPr="00C672EA">
              <w:rPr>
                <w:rFonts w:cstheme="minorHAnsi"/>
                <w:color w:val="000000" w:themeColor="text1"/>
                <w:sz w:val="18"/>
                <w:szCs w:val="18"/>
              </w:rPr>
              <w:t>Preparing informational material</w:t>
            </w:r>
          </w:p>
          <w:p w14:paraId="6264E782" w14:textId="77777777" w:rsidR="0055163F" w:rsidRPr="00C672EA" w:rsidRDefault="0055163F" w:rsidP="000D714B">
            <w:pPr>
              <w:pStyle w:val="ListParagraph"/>
              <w:numPr>
                <w:ilvl w:val="0"/>
                <w:numId w:val="9"/>
              </w:numPr>
              <w:ind w:left="346" w:hanging="166"/>
              <w:rPr>
                <w:rFonts w:cstheme="minorHAnsi"/>
                <w:color w:val="000000" w:themeColor="text1"/>
                <w:sz w:val="18"/>
                <w:szCs w:val="18"/>
              </w:rPr>
            </w:pPr>
            <w:r w:rsidRPr="00C672EA">
              <w:rPr>
                <w:rFonts w:cstheme="minorHAnsi"/>
                <w:color w:val="000000" w:themeColor="text1"/>
                <w:sz w:val="18"/>
                <w:szCs w:val="18"/>
              </w:rPr>
              <w:t xml:space="preserve">Sectoral workshops for the businesses in the following priority fields: </w:t>
            </w:r>
            <w:proofErr w:type="spellStart"/>
            <w:r w:rsidRPr="00C672EA">
              <w:rPr>
                <w:rFonts w:cstheme="minorHAnsi"/>
                <w:color w:val="000000" w:themeColor="text1"/>
                <w:sz w:val="18"/>
                <w:szCs w:val="18"/>
              </w:rPr>
              <w:t>i</w:t>
            </w:r>
            <w:proofErr w:type="spellEnd"/>
            <w:r w:rsidRPr="00C672EA">
              <w:rPr>
                <w:rFonts w:cstheme="minorHAnsi"/>
                <w:color w:val="000000" w:themeColor="text1"/>
                <w:sz w:val="18"/>
                <w:szCs w:val="18"/>
              </w:rPr>
              <w:t>) Machinery</w:t>
            </w:r>
            <w:r w:rsidRPr="00C672EA">
              <w:rPr>
                <w:rFonts w:cstheme="minorHAnsi"/>
                <w:color w:val="000000" w:themeColor="text1"/>
                <w:sz w:val="18"/>
                <w:szCs w:val="18"/>
                <w:lang w:val="ka-GE"/>
              </w:rPr>
              <w:t>;</w:t>
            </w:r>
            <w:r w:rsidRPr="00C672EA">
              <w:rPr>
                <w:rFonts w:cstheme="minorHAnsi"/>
                <w:color w:val="000000" w:themeColor="text1"/>
                <w:sz w:val="18"/>
                <w:szCs w:val="18"/>
              </w:rPr>
              <w:t xml:space="preserve"> ii) Appliances burning gaseous fuels; iii</w:t>
            </w:r>
            <w:r w:rsidR="000D714B">
              <w:rPr>
                <w:rFonts w:cstheme="minorHAnsi"/>
                <w:color w:val="000000" w:themeColor="text1"/>
                <w:sz w:val="18"/>
                <w:szCs w:val="18"/>
              </w:rPr>
              <w:t>)</w:t>
            </w:r>
            <w:r w:rsidRPr="00C672EA">
              <w:rPr>
                <w:rFonts w:cstheme="minorHAnsi"/>
                <w:color w:val="000000" w:themeColor="text1"/>
                <w:sz w:val="18"/>
                <w:szCs w:val="18"/>
              </w:rPr>
              <w:t xml:space="preserve"> Personal protective equipment</w:t>
            </w:r>
          </w:p>
        </w:tc>
        <w:tc>
          <w:tcPr>
            <w:tcW w:w="1530" w:type="dxa"/>
          </w:tcPr>
          <w:p w14:paraId="54125EA3" w14:textId="77777777" w:rsidR="0055163F" w:rsidRPr="00E05F73" w:rsidRDefault="0055163F" w:rsidP="007C20EB">
            <w:pPr>
              <w:rPr>
                <w:rFonts w:ascii="Sylfaen" w:hAnsi="Sylfaen"/>
              </w:rPr>
            </w:pPr>
            <w:r w:rsidRPr="00EC768F">
              <w:rPr>
                <w:rFonts w:cstheme="minorHAnsi"/>
                <w:sz w:val="18"/>
                <w:szCs w:val="18"/>
              </w:rPr>
              <w:t>September</w:t>
            </w:r>
            <w:r w:rsidRPr="00EC768F">
              <w:rPr>
                <w:rFonts w:cstheme="minorHAnsi"/>
                <w:sz w:val="18"/>
                <w:szCs w:val="18"/>
                <w:lang w:val="ka-GE"/>
              </w:rPr>
              <w:t xml:space="preserve"> </w:t>
            </w:r>
            <w:r w:rsidR="00780D2A" w:rsidRPr="00EC768F">
              <w:rPr>
                <w:rFonts w:ascii="Sylfaen" w:hAnsi="Sylfaen" w:cstheme="minorHAnsi"/>
                <w:sz w:val="18"/>
                <w:szCs w:val="18"/>
                <w:lang w:val="ka-GE"/>
              </w:rPr>
              <w:t xml:space="preserve">– </w:t>
            </w:r>
            <w:r w:rsidR="007C20EB" w:rsidRPr="00EC768F">
              <w:rPr>
                <w:rFonts w:ascii="Sylfaen" w:hAnsi="Sylfaen" w:cstheme="minorHAnsi"/>
                <w:sz w:val="18"/>
                <w:szCs w:val="18"/>
              </w:rPr>
              <w:t>November</w:t>
            </w:r>
            <w:r w:rsidR="00780D2A" w:rsidRPr="00EC768F">
              <w:rPr>
                <w:rFonts w:ascii="Sylfaen" w:hAnsi="Sylfaen" w:cstheme="minorHAnsi"/>
                <w:sz w:val="18"/>
                <w:szCs w:val="18"/>
              </w:rPr>
              <w:t xml:space="preserve"> </w:t>
            </w:r>
            <w:r w:rsidRPr="00EC768F">
              <w:rPr>
                <w:rFonts w:cstheme="minorHAnsi"/>
                <w:sz w:val="18"/>
                <w:szCs w:val="18"/>
              </w:rPr>
              <w:t>2020</w:t>
            </w:r>
            <w:r w:rsidRPr="00EC768F">
              <w:rPr>
                <w:rFonts w:cstheme="minorHAnsi"/>
                <w:sz w:val="18"/>
                <w:szCs w:val="18"/>
                <w:lang w:val="ka-GE"/>
              </w:rPr>
              <w:t xml:space="preserve"> </w:t>
            </w:r>
          </w:p>
        </w:tc>
        <w:tc>
          <w:tcPr>
            <w:tcW w:w="9180" w:type="dxa"/>
          </w:tcPr>
          <w:p w14:paraId="5FC56915" w14:textId="77777777" w:rsidR="0055163F" w:rsidRPr="00C672EA" w:rsidRDefault="0055163F" w:rsidP="0055163F">
            <w:pPr>
              <w:rPr>
                <w:rFonts w:cstheme="minorHAnsi"/>
                <w:sz w:val="18"/>
                <w:szCs w:val="18"/>
              </w:rPr>
            </w:pPr>
            <w:r w:rsidRPr="00C672EA">
              <w:rPr>
                <w:rFonts w:cstheme="minorHAnsi"/>
                <w:sz w:val="18"/>
                <w:szCs w:val="18"/>
              </w:rPr>
              <w:t>The aim of raising awareness activity is to thoroughly inform the economic operators of the product-specific requirements so that products placed on the market are safe. Informing businesses in a preventative manner will consequently decrease the number of non-compliant products on the market. It is expected 2 meetings per sector would be needed in 2020.</w:t>
            </w:r>
          </w:p>
          <w:p w14:paraId="335D2A9D" w14:textId="77777777" w:rsidR="0055163F" w:rsidRPr="00C672EA" w:rsidRDefault="0055163F" w:rsidP="0055163F">
            <w:pPr>
              <w:rPr>
                <w:rFonts w:cstheme="minorHAnsi"/>
                <w:i/>
                <w:sz w:val="18"/>
                <w:szCs w:val="18"/>
              </w:rPr>
            </w:pPr>
            <w:r w:rsidRPr="00C672EA">
              <w:rPr>
                <w:rFonts w:cstheme="minorHAnsi"/>
                <w:color w:val="000000" w:themeColor="text1"/>
                <w:sz w:val="18"/>
                <w:szCs w:val="18"/>
              </w:rPr>
              <w:t xml:space="preserve">With the assistance of Twinning experts, sectoral workshops have been conducted on toys, personal protective equipment, appliances burning gaseous fuels, explosives for civil uses, ATEX, LVD and machinery before the regulation was adopted. Through this first year of the implementation phase, in case of incompliance the MSA is providing recommendations to the businesses, no fines are involved, which will no longer be the case in 2021. </w:t>
            </w:r>
            <w:r w:rsidR="002A3409">
              <w:rPr>
                <w:rFonts w:cstheme="minorHAnsi"/>
                <w:color w:val="000000" w:themeColor="text1"/>
                <w:sz w:val="18"/>
                <w:szCs w:val="18"/>
              </w:rPr>
              <w:t>I</w:t>
            </w:r>
            <w:r w:rsidRPr="00C672EA">
              <w:rPr>
                <w:rFonts w:cstheme="minorHAnsi"/>
                <w:color w:val="000000" w:themeColor="text1"/>
                <w:sz w:val="18"/>
                <w:szCs w:val="18"/>
              </w:rPr>
              <w:t>t</w:t>
            </w:r>
            <w:r w:rsidR="002A3409">
              <w:rPr>
                <w:rFonts w:cstheme="minorHAnsi"/>
                <w:color w:val="000000" w:themeColor="text1"/>
                <w:sz w:val="18"/>
                <w:szCs w:val="18"/>
              </w:rPr>
              <w:t xml:space="preserve"> </w:t>
            </w:r>
            <w:r w:rsidRPr="00C672EA">
              <w:rPr>
                <w:rFonts w:cstheme="minorHAnsi"/>
                <w:color w:val="000000" w:themeColor="text1"/>
                <w:sz w:val="18"/>
                <w:szCs w:val="18"/>
              </w:rPr>
              <w:t xml:space="preserve">is therefore important to raise awareness on enforcement of concerned regulation </w:t>
            </w:r>
            <w:proofErr w:type="gramStart"/>
            <w:r w:rsidRPr="00C672EA">
              <w:rPr>
                <w:rFonts w:cstheme="minorHAnsi"/>
                <w:color w:val="000000" w:themeColor="text1"/>
                <w:sz w:val="18"/>
                <w:szCs w:val="18"/>
              </w:rPr>
              <w:t>at this point in time</w:t>
            </w:r>
            <w:proofErr w:type="gramEnd"/>
            <w:r w:rsidRPr="00C672EA">
              <w:rPr>
                <w:rFonts w:cstheme="minorHAnsi"/>
                <w:color w:val="000000" w:themeColor="text1"/>
                <w:sz w:val="18"/>
                <w:szCs w:val="18"/>
              </w:rPr>
              <w:t>.</w:t>
            </w:r>
          </w:p>
        </w:tc>
      </w:tr>
      <w:tr w:rsidR="0055163F" w:rsidRPr="00C90293" w14:paraId="5C8AA4A1" w14:textId="77777777" w:rsidTr="00C672EA">
        <w:trPr>
          <w:trHeight w:val="573"/>
        </w:trPr>
        <w:tc>
          <w:tcPr>
            <w:tcW w:w="293" w:type="dxa"/>
          </w:tcPr>
          <w:p w14:paraId="4DF8B220" w14:textId="77777777" w:rsidR="0055163F" w:rsidRPr="00C90293" w:rsidRDefault="0055163F" w:rsidP="0055163F">
            <w:pPr>
              <w:pStyle w:val="ListParagraph"/>
              <w:numPr>
                <w:ilvl w:val="0"/>
                <w:numId w:val="2"/>
              </w:numPr>
              <w:rPr>
                <w:rFonts w:cstheme="minorHAnsi"/>
                <w:strike/>
                <w:sz w:val="18"/>
                <w:szCs w:val="18"/>
                <w:lang w:val="ka-GE"/>
              </w:rPr>
            </w:pPr>
          </w:p>
        </w:tc>
        <w:tc>
          <w:tcPr>
            <w:tcW w:w="2947" w:type="dxa"/>
            <w:shd w:val="clear" w:color="auto" w:fill="auto"/>
          </w:tcPr>
          <w:p w14:paraId="58D66292" w14:textId="77777777" w:rsidR="0055163F" w:rsidRPr="00C672EA" w:rsidRDefault="0055163F" w:rsidP="0055163F">
            <w:pPr>
              <w:rPr>
                <w:rFonts w:cstheme="minorHAnsi"/>
                <w:sz w:val="18"/>
                <w:szCs w:val="18"/>
              </w:rPr>
            </w:pPr>
            <w:r w:rsidRPr="00C672EA">
              <w:rPr>
                <w:rFonts w:cstheme="minorHAnsi"/>
                <w:sz w:val="18"/>
                <w:szCs w:val="18"/>
              </w:rPr>
              <w:t>Impact assessment of the LVD</w:t>
            </w:r>
          </w:p>
        </w:tc>
        <w:tc>
          <w:tcPr>
            <w:tcW w:w="1530" w:type="dxa"/>
            <w:shd w:val="clear" w:color="auto" w:fill="auto"/>
          </w:tcPr>
          <w:p w14:paraId="339058ED" w14:textId="77777777" w:rsidR="0055163F" w:rsidRPr="00C672EA" w:rsidRDefault="0055163F" w:rsidP="0055163F">
            <w:r w:rsidRPr="00C672EA">
              <w:rPr>
                <w:rFonts w:cstheme="minorHAnsi"/>
                <w:sz w:val="18"/>
                <w:szCs w:val="18"/>
              </w:rPr>
              <w:t>September</w:t>
            </w:r>
            <w:r w:rsidRPr="00C672EA">
              <w:rPr>
                <w:rFonts w:cstheme="minorHAnsi"/>
                <w:sz w:val="18"/>
                <w:szCs w:val="18"/>
                <w:lang w:val="ka-GE"/>
              </w:rPr>
              <w:t xml:space="preserve"> </w:t>
            </w:r>
            <w:r w:rsidRPr="00C672EA">
              <w:rPr>
                <w:rFonts w:cstheme="minorHAnsi"/>
                <w:sz w:val="18"/>
                <w:szCs w:val="18"/>
              </w:rPr>
              <w:t>2020</w:t>
            </w:r>
            <w:r w:rsidRPr="00C672EA">
              <w:rPr>
                <w:rFonts w:cstheme="minorHAnsi"/>
                <w:sz w:val="18"/>
                <w:szCs w:val="18"/>
                <w:lang w:val="ka-GE"/>
              </w:rPr>
              <w:t xml:space="preserve"> – </w:t>
            </w:r>
            <w:r w:rsidRPr="00C672EA">
              <w:rPr>
                <w:rFonts w:cstheme="minorHAnsi"/>
                <w:sz w:val="18"/>
                <w:szCs w:val="18"/>
              </w:rPr>
              <w:t xml:space="preserve">April </w:t>
            </w:r>
            <w:r w:rsidRPr="00C672EA">
              <w:rPr>
                <w:rFonts w:cstheme="minorHAnsi"/>
                <w:sz w:val="18"/>
                <w:szCs w:val="18"/>
                <w:lang w:val="ka-GE"/>
              </w:rPr>
              <w:t>2021</w:t>
            </w:r>
          </w:p>
        </w:tc>
        <w:tc>
          <w:tcPr>
            <w:tcW w:w="9180" w:type="dxa"/>
            <w:shd w:val="clear" w:color="auto" w:fill="auto"/>
          </w:tcPr>
          <w:p w14:paraId="43B0466D" w14:textId="77777777" w:rsidR="0055163F" w:rsidRPr="00C672EA" w:rsidRDefault="0055163F" w:rsidP="0055163F">
            <w:pPr>
              <w:rPr>
                <w:rFonts w:cstheme="minorHAnsi"/>
                <w:sz w:val="18"/>
                <w:szCs w:val="18"/>
              </w:rPr>
            </w:pPr>
            <w:r w:rsidRPr="00C672EA">
              <w:rPr>
                <w:rFonts w:cstheme="minorHAnsi"/>
                <w:sz w:val="18"/>
                <w:szCs w:val="18"/>
              </w:rPr>
              <w:t xml:space="preserve">According to the Association Agreement, Low Voltage Directive is to be implemented in 2022. Therefore, assistance is needed to thoroughly analyze the impact which new regulation may have on the market so that actual implementation process is facilitated. </w:t>
            </w:r>
          </w:p>
        </w:tc>
      </w:tr>
      <w:tr w:rsidR="0055163F" w:rsidRPr="00C90293" w14:paraId="6DC70CB5" w14:textId="77777777" w:rsidTr="00C672EA">
        <w:trPr>
          <w:trHeight w:val="573"/>
        </w:trPr>
        <w:tc>
          <w:tcPr>
            <w:tcW w:w="293" w:type="dxa"/>
          </w:tcPr>
          <w:p w14:paraId="4DDA96F2" w14:textId="77777777" w:rsidR="0055163F" w:rsidRPr="00C90293" w:rsidRDefault="0055163F" w:rsidP="0055163F">
            <w:pPr>
              <w:pStyle w:val="ListParagraph"/>
              <w:numPr>
                <w:ilvl w:val="0"/>
                <w:numId w:val="2"/>
              </w:numPr>
              <w:rPr>
                <w:rFonts w:cstheme="minorHAnsi"/>
                <w:strike/>
                <w:sz w:val="18"/>
                <w:szCs w:val="18"/>
                <w:lang w:val="ka-GE"/>
              </w:rPr>
            </w:pPr>
          </w:p>
        </w:tc>
        <w:tc>
          <w:tcPr>
            <w:tcW w:w="2947" w:type="dxa"/>
            <w:shd w:val="clear" w:color="auto" w:fill="auto"/>
          </w:tcPr>
          <w:p w14:paraId="55DD8F50" w14:textId="77777777" w:rsidR="0055163F" w:rsidRPr="00C672EA" w:rsidRDefault="0055163F" w:rsidP="0055163F">
            <w:pPr>
              <w:rPr>
                <w:rFonts w:cstheme="minorHAnsi"/>
                <w:sz w:val="18"/>
                <w:szCs w:val="18"/>
              </w:rPr>
            </w:pPr>
            <w:r w:rsidRPr="00C672EA">
              <w:rPr>
                <w:rFonts w:cstheme="minorHAnsi"/>
                <w:sz w:val="18"/>
                <w:szCs w:val="18"/>
              </w:rPr>
              <w:t>Elaboration of a long-term institutional development strategy for MSA</w:t>
            </w:r>
          </w:p>
        </w:tc>
        <w:tc>
          <w:tcPr>
            <w:tcW w:w="1530" w:type="dxa"/>
            <w:shd w:val="clear" w:color="auto" w:fill="auto"/>
          </w:tcPr>
          <w:p w14:paraId="2FCFE241" w14:textId="77777777" w:rsidR="0055163F" w:rsidRPr="00C672EA" w:rsidRDefault="0055163F" w:rsidP="0055163F">
            <w:r w:rsidRPr="00C672EA">
              <w:rPr>
                <w:rFonts w:cstheme="minorHAnsi"/>
                <w:sz w:val="18"/>
                <w:szCs w:val="18"/>
              </w:rPr>
              <w:t>September</w:t>
            </w:r>
            <w:r w:rsidRPr="00C672EA">
              <w:rPr>
                <w:rFonts w:cstheme="minorHAnsi"/>
                <w:sz w:val="18"/>
                <w:szCs w:val="18"/>
                <w:lang w:val="ka-GE"/>
              </w:rPr>
              <w:t xml:space="preserve"> </w:t>
            </w:r>
            <w:r w:rsidRPr="00C672EA">
              <w:rPr>
                <w:rFonts w:cstheme="minorHAnsi"/>
                <w:sz w:val="18"/>
                <w:szCs w:val="18"/>
              </w:rPr>
              <w:t>2020</w:t>
            </w:r>
            <w:r w:rsidRPr="00C672EA">
              <w:rPr>
                <w:rFonts w:cstheme="minorHAnsi"/>
                <w:sz w:val="18"/>
                <w:szCs w:val="18"/>
                <w:lang w:val="ka-GE"/>
              </w:rPr>
              <w:t xml:space="preserve"> – </w:t>
            </w:r>
            <w:r w:rsidRPr="00C672EA">
              <w:rPr>
                <w:rFonts w:cstheme="minorHAnsi"/>
                <w:sz w:val="18"/>
                <w:szCs w:val="18"/>
              </w:rPr>
              <w:t xml:space="preserve">April </w:t>
            </w:r>
            <w:r w:rsidRPr="00C672EA">
              <w:rPr>
                <w:rFonts w:cstheme="minorHAnsi"/>
                <w:sz w:val="18"/>
                <w:szCs w:val="18"/>
                <w:lang w:val="ka-GE"/>
              </w:rPr>
              <w:t>2021</w:t>
            </w:r>
          </w:p>
        </w:tc>
        <w:tc>
          <w:tcPr>
            <w:tcW w:w="9180" w:type="dxa"/>
            <w:shd w:val="clear" w:color="auto" w:fill="auto"/>
          </w:tcPr>
          <w:p w14:paraId="5527AA8F" w14:textId="77777777" w:rsidR="0055163F" w:rsidRPr="00C672EA" w:rsidRDefault="0055163F" w:rsidP="0055163F">
            <w:pPr>
              <w:rPr>
                <w:rFonts w:cstheme="minorHAnsi"/>
                <w:sz w:val="18"/>
                <w:szCs w:val="18"/>
              </w:rPr>
            </w:pPr>
            <w:r w:rsidRPr="00C672EA">
              <w:rPr>
                <w:rFonts w:cstheme="minorHAnsi"/>
                <w:sz w:val="18"/>
                <w:szCs w:val="18"/>
              </w:rPr>
              <w:t xml:space="preserve">Since the MSA has just been established, preparing the strategy document is essential to ensure well-panned and sustainable institutional development. It is envisaged the strategy could cover a period of 4 – 5 years. The strategy is to be developed in compliance with recently adopted regulation on formulation of national strategies. MSA needs assistance in elaboration of this comprehensive and complex task. </w:t>
            </w:r>
          </w:p>
        </w:tc>
      </w:tr>
      <w:tr w:rsidR="0055163F" w:rsidRPr="00C90293" w14:paraId="46734B36" w14:textId="77777777" w:rsidTr="00165FE8">
        <w:trPr>
          <w:trHeight w:val="573"/>
        </w:trPr>
        <w:tc>
          <w:tcPr>
            <w:tcW w:w="293" w:type="dxa"/>
          </w:tcPr>
          <w:p w14:paraId="3E12EBE2" w14:textId="77777777" w:rsidR="0055163F" w:rsidRPr="00C90293" w:rsidRDefault="0055163F" w:rsidP="0055163F">
            <w:pPr>
              <w:pStyle w:val="ListParagraph"/>
              <w:numPr>
                <w:ilvl w:val="0"/>
                <w:numId w:val="2"/>
              </w:numPr>
              <w:rPr>
                <w:rFonts w:cstheme="minorHAnsi"/>
                <w:strike/>
                <w:sz w:val="18"/>
                <w:szCs w:val="18"/>
                <w:lang w:val="ka-GE"/>
              </w:rPr>
            </w:pPr>
          </w:p>
        </w:tc>
        <w:tc>
          <w:tcPr>
            <w:tcW w:w="2947" w:type="dxa"/>
            <w:shd w:val="clear" w:color="auto" w:fill="FFFFFF" w:themeFill="background1"/>
          </w:tcPr>
          <w:p w14:paraId="76F01EBB" w14:textId="77777777" w:rsidR="0055163F" w:rsidRPr="00CE4DC2" w:rsidRDefault="0055163F" w:rsidP="0055163F">
            <w:pPr>
              <w:rPr>
                <w:rFonts w:cstheme="minorHAnsi"/>
                <w:sz w:val="18"/>
                <w:szCs w:val="18"/>
              </w:rPr>
            </w:pPr>
            <w:r w:rsidRPr="00CE4DC2">
              <w:rPr>
                <w:rFonts w:cstheme="minorHAnsi"/>
                <w:sz w:val="18"/>
                <w:szCs w:val="18"/>
              </w:rPr>
              <w:t>Translation of the essential standard regarding toy safety - EN 71-1:2014+A1:2018 Safety of toys — Part 1: Mechanical and physical properties into Georgian language</w:t>
            </w:r>
          </w:p>
        </w:tc>
        <w:tc>
          <w:tcPr>
            <w:tcW w:w="1530" w:type="dxa"/>
            <w:shd w:val="clear" w:color="auto" w:fill="FFFFFF" w:themeFill="background1"/>
          </w:tcPr>
          <w:p w14:paraId="74D7DFC5" w14:textId="77777777" w:rsidR="0055163F" w:rsidRPr="00CE4DC2" w:rsidRDefault="0055163F" w:rsidP="0055163F">
            <w:pPr>
              <w:rPr>
                <w:rFonts w:cstheme="minorHAnsi"/>
                <w:sz w:val="18"/>
                <w:szCs w:val="18"/>
              </w:rPr>
            </w:pPr>
            <w:r w:rsidRPr="00CE4DC2">
              <w:rPr>
                <w:rFonts w:cstheme="minorHAnsi"/>
                <w:sz w:val="18"/>
                <w:szCs w:val="18"/>
              </w:rPr>
              <w:t>September</w:t>
            </w:r>
            <w:r w:rsidRPr="00CE4DC2">
              <w:rPr>
                <w:rFonts w:cstheme="minorHAnsi"/>
                <w:sz w:val="18"/>
                <w:szCs w:val="18"/>
                <w:lang w:val="ka-GE"/>
              </w:rPr>
              <w:t xml:space="preserve"> </w:t>
            </w:r>
            <w:r w:rsidRPr="00CE4DC2">
              <w:rPr>
                <w:rFonts w:cstheme="minorHAnsi"/>
                <w:sz w:val="18"/>
                <w:szCs w:val="18"/>
              </w:rPr>
              <w:t>2020</w:t>
            </w:r>
            <w:r w:rsidRPr="00CE4DC2">
              <w:rPr>
                <w:rFonts w:cstheme="minorHAnsi"/>
                <w:sz w:val="18"/>
                <w:szCs w:val="18"/>
                <w:lang w:val="ka-GE"/>
              </w:rPr>
              <w:t xml:space="preserve"> – </w:t>
            </w:r>
            <w:r w:rsidRPr="00CE4DC2">
              <w:rPr>
                <w:rFonts w:cstheme="minorHAnsi"/>
                <w:sz w:val="18"/>
                <w:szCs w:val="18"/>
              </w:rPr>
              <w:t xml:space="preserve">April </w:t>
            </w:r>
            <w:r w:rsidRPr="00CE4DC2">
              <w:rPr>
                <w:rFonts w:cstheme="minorHAnsi"/>
                <w:sz w:val="18"/>
                <w:szCs w:val="18"/>
                <w:lang w:val="ka-GE"/>
              </w:rPr>
              <w:t>2021</w:t>
            </w:r>
          </w:p>
        </w:tc>
        <w:tc>
          <w:tcPr>
            <w:tcW w:w="9180" w:type="dxa"/>
            <w:shd w:val="clear" w:color="auto" w:fill="FFFFFF" w:themeFill="background1"/>
          </w:tcPr>
          <w:p w14:paraId="18B081E1" w14:textId="77777777" w:rsidR="0055163F" w:rsidRPr="00CE4DC2" w:rsidRDefault="0055163F" w:rsidP="0055163F">
            <w:pPr>
              <w:rPr>
                <w:rFonts w:cstheme="minorHAnsi"/>
                <w:sz w:val="18"/>
                <w:szCs w:val="18"/>
              </w:rPr>
            </w:pPr>
            <w:r w:rsidRPr="00CE4DC2">
              <w:rPr>
                <w:rFonts w:cstheme="minorHAnsi"/>
                <w:sz w:val="18"/>
                <w:szCs w:val="18"/>
              </w:rPr>
              <w:t xml:space="preserve">Translation of standard will assist Georgian manufacturers to effectively meet the safety requirements </w:t>
            </w:r>
            <w:proofErr w:type="gramStart"/>
            <w:r w:rsidRPr="00CE4DC2">
              <w:rPr>
                <w:rFonts w:cstheme="minorHAnsi"/>
                <w:sz w:val="18"/>
                <w:szCs w:val="18"/>
              </w:rPr>
              <w:t>and also</w:t>
            </w:r>
            <w:proofErr w:type="gramEnd"/>
            <w:r w:rsidRPr="00CE4DC2">
              <w:rPr>
                <w:rFonts w:cstheme="minorHAnsi"/>
                <w:sz w:val="18"/>
                <w:szCs w:val="18"/>
              </w:rPr>
              <w:t xml:space="preserve"> Market Surveillance Agency to enforce the Decree on Toy Safety.</w:t>
            </w:r>
          </w:p>
        </w:tc>
      </w:tr>
      <w:tr w:rsidR="0055163F" w:rsidRPr="00C90293" w14:paraId="141C7EEE" w14:textId="77777777" w:rsidTr="00165FE8">
        <w:trPr>
          <w:trHeight w:val="573"/>
        </w:trPr>
        <w:tc>
          <w:tcPr>
            <w:tcW w:w="293" w:type="dxa"/>
          </w:tcPr>
          <w:p w14:paraId="5019327B" w14:textId="77777777" w:rsidR="0055163F" w:rsidRPr="00C90293" w:rsidRDefault="0055163F" w:rsidP="0055163F">
            <w:pPr>
              <w:pStyle w:val="ListParagraph"/>
              <w:numPr>
                <w:ilvl w:val="0"/>
                <w:numId w:val="2"/>
              </w:numPr>
              <w:rPr>
                <w:rFonts w:cstheme="minorHAnsi"/>
                <w:strike/>
                <w:sz w:val="18"/>
                <w:szCs w:val="18"/>
                <w:lang w:val="ka-GE"/>
              </w:rPr>
            </w:pPr>
          </w:p>
        </w:tc>
        <w:tc>
          <w:tcPr>
            <w:tcW w:w="2947" w:type="dxa"/>
            <w:shd w:val="clear" w:color="auto" w:fill="FFFFFF" w:themeFill="background1"/>
          </w:tcPr>
          <w:p w14:paraId="71B266AE" w14:textId="77777777" w:rsidR="0055163F" w:rsidRPr="00CE4DC2" w:rsidRDefault="0055163F" w:rsidP="0055163F">
            <w:pPr>
              <w:rPr>
                <w:rFonts w:cstheme="minorHAnsi"/>
                <w:sz w:val="18"/>
                <w:szCs w:val="18"/>
              </w:rPr>
            </w:pPr>
            <w:r w:rsidRPr="00CE4DC2">
              <w:rPr>
                <w:rFonts w:cstheme="minorHAnsi"/>
                <w:sz w:val="18"/>
                <w:szCs w:val="18"/>
              </w:rPr>
              <w:t>Translation of 4 guidelines into Georgian language (Guide to application of the</w:t>
            </w:r>
          </w:p>
          <w:p w14:paraId="641A24C8" w14:textId="77777777" w:rsidR="0055163F" w:rsidRPr="00CE4DC2" w:rsidRDefault="0055163F" w:rsidP="0055163F">
            <w:pPr>
              <w:rPr>
                <w:rFonts w:cstheme="minorHAnsi"/>
                <w:sz w:val="18"/>
                <w:szCs w:val="18"/>
              </w:rPr>
            </w:pPr>
            <w:r w:rsidRPr="00CE4DC2">
              <w:rPr>
                <w:rFonts w:cstheme="minorHAnsi"/>
                <w:sz w:val="18"/>
                <w:szCs w:val="18"/>
              </w:rPr>
              <w:t>Machinery Directive 2006/42/EC; Guide to application of the</w:t>
            </w:r>
          </w:p>
          <w:p w14:paraId="5A020B5C" w14:textId="77777777" w:rsidR="0055163F" w:rsidRPr="00CE4DC2" w:rsidRDefault="0055163F" w:rsidP="0055163F">
            <w:pPr>
              <w:rPr>
                <w:rFonts w:cstheme="minorHAnsi"/>
                <w:sz w:val="18"/>
                <w:szCs w:val="18"/>
              </w:rPr>
            </w:pPr>
            <w:r w:rsidRPr="00CE4DC2">
              <w:rPr>
                <w:rFonts w:cstheme="minorHAnsi"/>
                <w:sz w:val="18"/>
                <w:szCs w:val="18"/>
              </w:rPr>
              <w:t>PPE regulation (EU) 2016/425;  Guide to application of the</w:t>
            </w:r>
          </w:p>
          <w:p w14:paraId="1B7AA82F" w14:textId="77777777" w:rsidR="0055163F" w:rsidRPr="00CE4DC2" w:rsidRDefault="0055163F" w:rsidP="0055163F">
            <w:pPr>
              <w:rPr>
                <w:rFonts w:cstheme="minorHAnsi"/>
                <w:sz w:val="18"/>
                <w:szCs w:val="18"/>
              </w:rPr>
            </w:pPr>
            <w:r w:rsidRPr="00CE4DC2">
              <w:rPr>
                <w:rFonts w:cstheme="minorHAnsi"/>
                <w:sz w:val="18"/>
                <w:szCs w:val="18"/>
              </w:rPr>
              <w:t>ATEX directive 2014/34/EU; Guide to application of the Regulation (EU) 2016/426 on appliances burning gaseous fuels).</w:t>
            </w:r>
          </w:p>
        </w:tc>
        <w:tc>
          <w:tcPr>
            <w:tcW w:w="1530" w:type="dxa"/>
            <w:shd w:val="clear" w:color="auto" w:fill="FFFFFF" w:themeFill="background1"/>
          </w:tcPr>
          <w:p w14:paraId="4B92CBCB" w14:textId="77777777" w:rsidR="0055163F" w:rsidRPr="00CE4DC2" w:rsidRDefault="0055163F" w:rsidP="0055163F">
            <w:pPr>
              <w:rPr>
                <w:rFonts w:cstheme="minorHAnsi"/>
                <w:sz w:val="18"/>
                <w:szCs w:val="18"/>
              </w:rPr>
            </w:pPr>
            <w:r w:rsidRPr="00CE4DC2">
              <w:rPr>
                <w:rFonts w:cstheme="minorHAnsi"/>
                <w:sz w:val="18"/>
                <w:szCs w:val="18"/>
              </w:rPr>
              <w:t>September</w:t>
            </w:r>
            <w:r w:rsidRPr="00CE4DC2">
              <w:rPr>
                <w:rFonts w:cstheme="minorHAnsi"/>
                <w:sz w:val="18"/>
                <w:szCs w:val="18"/>
                <w:lang w:val="ka-GE"/>
              </w:rPr>
              <w:t xml:space="preserve"> </w:t>
            </w:r>
            <w:r w:rsidRPr="00CE4DC2">
              <w:rPr>
                <w:rFonts w:cstheme="minorHAnsi"/>
                <w:sz w:val="18"/>
                <w:szCs w:val="18"/>
              </w:rPr>
              <w:t>2020</w:t>
            </w:r>
            <w:r w:rsidRPr="00CE4DC2">
              <w:rPr>
                <w:rFonts w:cstheme="minorHAnsi"/>
                <w:sz w:val="18"/>
                <w:szCs w:val="18"/>
                <w:lang w:val="ka-GE"/>
              </w:rPr>
              <w:t xml:space="preserve"> – </w:t>
            </w:r>
            <w:r w:rsidRPr="00CE4DC2">
              <w:rPr>
                <w:rFonts w:cstheme="minorHAnsi"/>
                <w:sz w:val="18"/>
                <w:szCs w:val="18"/>
              </w:rPr>
              <w:t xml:space="preserve">April </w:t>
            </w:r>
            <w:r w:rsidRPr="00CE4DC2">
              <w:rPr>
                <w:rFonts w:cstheme="minorHAnsi"/>
                <w:sz w:val="18"/>
                <w:szCs w:val="18"/>
                <w:lang w:val="ka-GE"/>
              </w:rPr>
              <w:t>2021</w:t>
            </w:r>
          </w:p>
        </w:tc>
        <w:tc>
          <w:tcPr>
            <w:tcW w:w="9180" w:type="dxa"/>
            <w:shd w:val="clear" w:color="auto" w:fill="FFFFFF" w:themeFill="background1"/>
          </w:tcPr>
          <w:p w14:paraId="59A117D7" w14:textId="77777777" w:rsidR="0055163F" w:rsidRPr="00CE4DC2" w:rsidRDefault="0055163F" w:rsidP="0055163F">
            <w:pPr>
              <w:rPr>
                <w:rFonts w:cstheme="minorHAnsi"/>
                <w:sz w:val="18"/>
                <w:szCs w:val="18"/>
              </w:rPr>
            </w:pPr>
            <w:r w:rsidRPr="00CE4DC2">
              <w:rPr>
                <w:rFonts w:cstheme="minorHAnsi"/>
                <w:sz w:val="18"/>
                <w:szCs w:val="18"/>
              </w:rPr>
              <w:t>Guidelines on Georgian language will help manufacturers and importers to acknowledge requirements imposed by law better and affectively meet them. Also, it will assist Market Surveillance Agency to enforce Decrees on Machinery, PPE, ATEX and Appliances Burning Gaseous Fuels.</w:t>
            </w:r>
          </w:p>
        </w:tc>
      </w:tr>
      <w:tr w:rsidR="0055163F" w:rsidRPr="00C90293" w14:paraId="3A094E17" w14:textId="77777777" w:rsidTr="00165FE8">
        <w:trPr>
          <w:trHeight w:val="573"/>
        </w:trPr>
        <w:tc>
          <w:tcPr>
            <w:tcW w:w="293" w:type="dxa"/>
          </w:tcPr>
          <w:p w14:paraId="243E328D" w14:textId="77777777" w:rsidR="0055163F" w:rsidRPr="00C90293" w:rsidRDefault="0055163F" w:rsidP="0055163F">
            <w:pPr>
              <w:pStyle w:val="ListParagraph"/>
              <w:numPr>
                <w:ilvl w:val="0"/>
                <w:numId w:val="2"/>
              </w:numPr>
              <w:rPr>
                <w:rFonts w:cstheme="minorHAnsi"/>
                <w:strike/>
                <w:sz w:val="18"/>
                <w:szCs w:val="18"/>
                <w:lang w:val="ka-GE"/>
              </w:rPr>
            </w:pPr>
          </w:p>
        </w:tc>
        <w:tc>
          <w:tcPr>
            <w:tcW w:w="2947" w:type="dxa"/>
            <w:shd w:val="clear" w:color="auto" w:fill="FFFFFF" w:themeFill="background1"/>
          </w:tcPr>
          <w:p w14:paraId="012606A5" w14:textId="77777777" w:rsidR="0055163F" w:rsidRPr="00CE4DC2" w:rsidRDefault="0055163F" w:rsidP="0055163F">
            <w:pPr>
              <w:rPr>
                <w:rFonts w:cstheme="minorHAnsi"/>
                <w:sz w:val="18"/>
                <w:szCs w:val="18"/>
              </w:rPr>
            </w:pPr>
            <w:r w:rsidRPr="00CE4DC2">
              <w:rPr>
                <w:rFonts w:cstheme="minorHAnsi"/>
                <w:sz w:val="18"/>
                <w:szCs w:val="18"/>
              </w:rPr>
              <w:t>Trainings on Simple Pressure Vessels and Hot Water Boilers.</w:t>
            </w:r>
          </w:p>
        </w:tc>
        <w:tc>
          <w:tcPr>
            <w:tcW w:w="1530" w:type="dxa"/>
            <w:shd w:val="clear" w:color="auto" w:fill="FFFFFF" w:themeFill="background1"/>
          </w:tcPr>
          <w:p w14:paraId="2AD99CFE" w14:textId="77777777" w:rsidR="0055163F" w:rsidRPr="00CE4DC2" w:rsidRDefault="0055163F" w:rsidP="0055163F">
            <w:pPr>
              <w:rPr>
                <w:rFonts w:cstheme="minorHAnsi"/>
                <w:sz w:val="18"/>
                <w:szCs w:val="18"/>
              </w:rPr>
            </w:pPr>
            <w:r w:rsidRPr="00CE4DC2">
              <w:rPr>
                <w:rFonts w:cstheme="minorHAnsi"/>
                <w:sz w:val="18"/>
                <w:szCs w:val="18"/>
              </w:rPr>
              <w:t>September</w:t>
            </w:r>
            <w:r w:rsidRPr="00CE4DC2">
              <w:rPr>
                <w:rFonts w:cstheme="minorHAnsi"/>
                <w:sz w:val="18"/>
                <w:szCs w:val="18"/>
                <w:lang w:val="ka-GE"/>
              </w:rPr>
              <w:t xml:space="preserve"> </w:t>
            </w:r>
            <w:r w:rsidRPr="00CE4DC2">
              <w:rPr>
                <w:rFonts w:cstheme="minorHAnsi"/>
                <w:sz w:val="18"/>
                <w:szCs w:val="18"/>
              </w:rPr>
              <w:t>2020</w:t>
            </w:r>
            <w:r w:rsidRPr="00CE4DC2">
              <w:rPr>
                <w:rFonts w:cstheme="minorHAnsi"/>
                <w:sz w:val="18"/>
                <w:szCs w:val="18"/>
                <w:lang w:val="ka-GE"/>
              </w:rPr>
              <w:t xml:space="preserve"> – </w:t>
            </w:r>
            <w:r w:rsidRPr="00CE4DC2">
              <w:rPr>
                <w:rFonts w:cstheme="minorHAnsi"/>
                <w:sz w:val="18"/>
                <w:szCs w:val="18"/>
              </w:rPr>
              <w:t xml:space="preserve">April </w:t>
            </w:r>
            <w:r w:rsidRPr="00CE4DC2">
              <w:rPr>
                <w:rFonts w:cstheme="minorHAnsi"/>
                <w:sz w:val="18"/>
                <w:szCs w:val="18"/>
                <w:lang w:val="ka-GE"/>
              </w:rPr>
              <w:t>2021</w:t>
            </w:r>
          </w:p>
        </w:tc>
        <w:tc>
          <w:tcPr>
            <w:tcW w:w="9180" w:type="dxa"/>
            <w:shd w:val="clear" w:color="auto" w:fill="FFFFFF" w:themeFill="background1"/>
          </w:tcPr>
          <w:p w14:paraId="796886D3" w14:textId="77777777" w:rsidR="0055163F" w:rsidRPr="00CE4DC2" w:rsidRDefault="0055163F" w:rsidP="0055163F">
            <w:pPr>
              <w:rPr>
                <w:rFonts w:cstheme="minorHAnsi"/>
                <w:sz w:val="18"/>
                <w:szCs w:val="18"/>
              </w:rPr>
            </w:pPr>
            <w:r w:rsidRPr="00CE4DC2">
              <w:rPr>
                <w:rFonts w:cstheme="minorHAnsi"/>
                <w:sz w:val="18"/>
                <w:szCs w:val="18"/>
              </w:rPr>
              <w:t>Market surveillance agency has been established in January 2020 and recruitment process of staff is still in progress, (currently 9 inspectors) therefore newly established agency needs more assistance to strengthen the capacity of the new staff.</w:t>
            </w:r>
          </w:p>
        </w:tc>
      </w:tr>
      <w:tr w:rsidR="00472E4C" w:rsidRPr="00C90293" w14:paraId="1506138C" w14:textId="77777777" w:rsidTr="00165FE8">
        <w:trPr>
          <w:trHeight w:val="573"/>
        </w:trPr>
        <w:tc>
          <w:tcPr>
            <w:tcW w:w="293" w:type="dxa"/>
          </w:tcPr>
          <w:p w14:paraId="05FEAA56" w14:textId="77777777" w:rsidR="00472E4C" w:rsidRPr="00C90293" w:rsidRDefault="00472E4C" w:rsidP="0055163F">
            <w:pPr>
              <w:pStyle w:val="ListParagraph"/>
              <w:numPr>
                <w:ilvl w:val="0"/>
                <w:numId w:val="2"/>
              </w:numPr>
              <w:rPr>
                <w:rFonts w:cstheme="minorHAnsi"/>
                <w:strike/>
                <w:sz w:val="18"/>
                <w:szCs w:val="18"/>
                <w:lang w:val="ka-GE"/>
              </w:rPr>
            </w:pPr>
          </w:p>
        </w:tc>
        <w:tc>
          <w:tcPr>
            <w:tcW w:w="2947" w:type="dxa"/>
            <w:shd w:val="clear" w:color="auto" w:fill="FFFFFF" w:themeFill="background1"/>
          </w:tcPr>
          <w:p w14:paraId="15D9575F" w14:textId="5F16213E" w:rsidR="00472E4C" w:rsidRPr="00472E4C" w:rsidRDefault="006517F7" w:rsidP="006517F7">
            <w:pPr>
              <w:rPr>
                <w:rFonts w:ascii="Sylfaen" w:hAnsi="Sylfaen" w:cstheme="minorHAnsi"/>
                <w:sz w:val="18"/>
                <w:szCs w:val="18"/>
              </w:rPr>
            </w:pPr>
            <w:r w:rsidRPr="006517F7">
              <w:rPr>
                <w:rFonts w:ascii="Sylfaen" w:hAnsi="Sylfaen" w:cstheme="minorHAnsi"/>
                <w:sz w:val="18"/>
                <w:szCs w:val="18"/>
              </w:rPr>
              <w:t xml:space="preserve">Issuing printed materials/ informative booklets in order to raise awareness on the </w:t>
            </w:r>
            <w:r>
              <w:rPr>
                <w:rFonts w:ascii="Sylfaen" w:hAnsi="Sylfaen" w:cstheme="minorHAnsi"/>
                <w:sz w:val="18"/>
                <w:szCs w:val="18"/>
              </w:rPr>
              <w:t>newly adopted technical regulations</w:t>
            </w:r>
          </w:p>
        </w:tc>
        <w:tc>
          <w:tcPr>
            <w:tcW w:w="1530" w:type="dxa"/>
            <w:shd w:val="clear" w:color="auto" w:fill="FFFFFF" w:themeFill="background1"/>
          </w:tcPr>
          <w:p w14:paraId="4DF99ED8" w14:textId="71A30CD2" w:rsidR="00472E4C" w:rsidRPr="00CE4DC2" w:rsidRDefault="006517F7" w:rsidP="0055163F">
            <w:pPr>
              <w:rPr>
                <w:rFonts w:cstheme="minorHAnsi"/>
                <w:sz w:val="18"/>
                <w:szCs w:val="18"/>
              </w:rPr>
            </w:pPr>
            <w:r w:rsidRPr="006517F7">
              <w:rPr>
                <w:rFonts w:cstheme="minorHAnsi"/>
                <w:sz w:val="18"/>
                <w:szCs w:val="18"/>
              </w:rPr>
              <w:t>September</w:t>
            </w:r>
            <w:r w:rsidRPr="006517F7">
              <w:rPr>
                <w:rFonts w:cstheme="minorHAnsi"/>
                <w:sz w:val="18"/>
                <w:szCs w:val="18"/>
                <w:lang w:val="ka-GE"/>
              </w:rPr>
              <w:t xml:space="preserve"> </w:t>
            </w:r>
            <w:r w:rsidRPr="006517F7">
              <w:rPr>
                <w:rFonts w:cstheme="minorHAnsi"/>
                <w:sz w:val="18"/>
                <w:szCs w:val="18"/>
              </w:rPr>
              <w:t>2020</w:t>
            </w:r>
            <w:r w:rsidRPr="006517F7">
              <w:rPr>
                <w:rFonts w:cstheme="minorHAnsi"/>
                <w:sz w:val="18"/>
                <w:szCs w:val="18"/>
                <w:lang w:val="ka-GE"/>
              </w:rPr>
              <w:t xml:space="preserve"> – </w:t>
            </w:r>
            <w:r w:rsidRPr="006517F7">
              <w:rPr>
                <w:rFonts w:cstheme="minorHAnsi"/>
                <w:sz w:val="18"/>
                <w:szCs w:val="18"/>
              </w:rPr>
              <w:t xml:space="preserve">April </w:t>
            </w:r>
            <w:r w:rsidRPr="006517F7">
              <w:rPr>
                <w:rFonts w:cstheme="minorHAnsi"/>
                <w:sz w:val="18"/>
                <w:szCs w:val="18"/>
                <w:lang w:val="ka-GE"/>
              </w:rPr>
              <w:t>2021</w:t>
            </w:r>
          </w:p>
        </w:tc>
        <w:tc>
          <w:tcPr>
            <w:tcW w:w="9180" w:type="dxa"/>
            <w:shd w:val="clear" w:color="auto" w:fill="FFFFFF" w:themeFill="background1"/>
          </w:tcPr>
          <w:p w14:paraId="7C4F9B4F" w14:textId="246EC4BE" w:rsidR="00472E4C" w:rsidRPr="00CE4DC2" w:rsidRDefault="00980BCA" w:rsidP="00D86C05">
            <w:pPr>
              <w:rPr>
                <w:rFonts w:cstheme="minorHAnsi"/>
                <w:sz w:val="18"/>
                <w:szCs w:val="18"/>
              </w:rPr>
            </w:pPr>
            <w:r w:rsidRPr="00980BCA">
              <w:rPr>
                <w:rFonts w:cstheme="minorHAnsi"/>
                <w:sz w:val="18"/>
                <w:szCs w:val="18"/>
              </w:rPr>
              <w:t xml:space="preserve">The aim of </w:t>
            </w:r>
            <w:r w:rsidR="00172F0C">
              <w:rPr>
                <w:rFonts w:cstheme="minorHAnsi"/>
                <w:sz w:val="18"/>
                <w:szCs w:val="18"/>
              </w:rPr>
              <w:t>i</w:t>
            </w:r>
            <w:r w:rsidR="00172F0C" w:rsidRPr="00172F0C">
              <w:rPr>
                <w:rFonts w:cstheme="minorHAnsi"/>
                <w:sz w:val="18"/>
                <w:szCs w:val="18"/>
              </w:rPr>
              <w:t>ssuing printed materials</w:t>
            </w:r>
            <w:r w:rsidRPr="00980BCA">
              <w:rPr>
                <w:rFonts w:cstheme="minorHAnsi"/>
                <w:sz w:val="18"/>
                <w:szCs w:val="18"/>
              </w:rPr>
              <w:t xml:space="preserve"> is to inform the economic operators of the product-specific requirements so that products placed on the market are safe</w:t>
            </w:r>
            <w:r w:rsidR="00AF2759">
              <w:rPr>
                <w:rFonts w:cstheme="minorHAnsi"/>
                <w:sz w:val="18"/>
                <w:szCs w:val="18"/>
              </w:rPr>
              <w:t xml:space="preserve"> (such as </w:t>
            </w:r>
            <w:r w:rsidR="00AF2759">
              <w:rPr>
                <w:rFonts w:cstheme="minorHAnsi"/>
                <w:color w:val="000000" w:themeColor="text1"/>
                <w:sz w:val="18"/>
                <w:szCs w:val="18"/>
              </w:rPr>
              <w:t xml:space="preserve">Toys, </w:t>
            </w:r>
            <w:r w:rsidR="00AF2759" w:rsidRPr="00C672EA">
              <w:rPr>
                <w:rFonts w:cstheme="minorHAnsi"/>
                <w:color w:val="000000" w:themeColor="text1"/>
                <w:sz w:val="18"/>
                <w:szCs w:val="18"/>
              </w:rPr>
              <w:t>Machinery</w:t>
            </w:r>
            <w:r w:rsidR="00D819A8">
              <w:rPr>
                <w:rFonts w:cstheme="minorHAnsi"/>
                <w:color w:val="000000" w:themeColor="text1"/>
                <w:sz w:val="18"/>
                <w:szCs w:val="18"/>
              </w:rPr>
              <w:t>,</w:t>
            </w:r>
            <w:r w:rsidR="00AF2759" w:rsidRPr="00C672EA">
              <w:rPr>
                <w:rFonts w:cstheme="minorHAnsi"/>
                <w:color w:val="000000" w:themeColor="text1"/>
                <w:sz w:val="18"/>
                <w:szCs w:val="18"/>
              </w:rPr>
              <w:t xml:space="preserve"> Appliances burning gaseous fuels</w:t>
            </w:r>
            <w:r w:rsidR="00D819A8">
              <w:rPr>
                <w:rFonts w:cstheme="minorHAnsi"/>
                <w:color w:val="000000" w:themeColor="text1"/>
                <w:sz w:val="18"/>
                <w:szCs w:val="18"/>
              </w:rPr>
              <w:t xml:space="preserve">, </w:t>
            </w:r>
            <w:r w:rsidR="00AF2759" w:rsidRPr="00C672EA">
              <w:rPr>
                <w:rFonts w:cstheme="minorHAnsi"/>
                <w:color w:val="000000" w:themeColor="text1"/>
                <w:sz w:val="18"/>
                <w:szCs w:val="18"/>
              </w:rPr>
              <w:t>Personal protective equipment</w:t>
            </w:r>
            <w:r w:rsidR="00AF2759">
              <w:rPr>
                <w:rFonts w:cstheme="minorHAnsi"/>
                <w:sz w:val="18"/>
                <w:szCs w:val="18"/>
              </w:rPr>
              <w:t>)</w:t>
            </w:r>
            <w:r w:rsidRPr="00980BCA">
              <w:rPr>
                <w:rFonts w:cstheme="minorHAnsi"/>
                <w:sz w:val="18"/>
                <w:szCs w:val="18"/>
              </w:rPr>
              <w:t>.</w:t>
            </w:r>
            <w:r w:rsidR="00D86C05">
              <w:rPr>
                <w:rFonts w:cstheme="minorHAnsi"/>
                <w:sz w:val="18"/>
                <w:szCs w:val="18"/>
              </w:rPr>
              <w:t xml:space="preserve"> </w:t>
            </w:r>
          </w:p>
        </w:tc>
      </w:tr>
    </w:tbl>
    <w:p w14:paraId="1205AD23" w14:textId="40480274" w:rsidR="005B54C3" w:rsidRDefault="005B54C3" w:rsidP="00F352D4">
      <w:pPr>
        <w:rPr>
          <w:rFonts w:cstheme="minorHAnsi"/>
          <w:sz w:val="18"/>
          <w:szCs w:val="18"/>
        </w:rPr>
      </w:pPr>
    </w:p>
    <w:p w14:paraId="2592FE26" w14:textId="4AF0366F" w:rsidR="00292D29" w:rsidRDefault="00292D29" w:rsidP="00F352D4">
      <w:pPr>
        <w:rPr>
          <w:rFonts w:cstheme="minorHAnsi"/>
          <w:sz w:val="18"/>
          <w:szCs w:val="18"/>
        </w:rPr>
      </w:pPr>
    </w:p>
    <w:p w14:paraId="7C652F71" w14:textId="6BCCAE19" w:rsidR="00292D29" w:rsidRDefault="00292D29" w:rsidP="00F352D4">
      <w:pPr>
        <w:rPr>
          <w:rFonts w:cstheme="minorHAnsi"/>
          <w:sz w:val="18"/>
          <w:szCs w:val="18"/>
        </w:rPr>
      </w:pPr>
    </w:p>
    <w:tbl>
      <w:tblPr>
        <w:tblStyle w:val="TableGrid2"/>
        <w:tblW w:w="14021" w:type="dxa"/>
        <w:tblInd w:w="-905" w:type="dxa"/>
        <w:tblLook w:val="04A0" w:firstRow="1" w:lastRow="0" w:firstColumn="1" w:lastColumn="0" w:noHBand="0" w:noVBand="1"/>
      </w:tblPr>
      <w:tblGrid>
        <w:gridCol w:w="353"/>
        <w:gridCol w:w="3304"/>
        <w:gridCol w:w="1476"/>
        <w:gridCol w:w="8888"/>
      </w:tblGrid>
      <w:tr w:rsidR="00292D29" w:rsidRPr="00431349" w14:paraId="49ABA431" w14:textId="77777777" w:rsidTr="00586D6A">
        <w:trPr>
          <w:trHeight w:val="299"/>
        </w:trPr>
        <w:tc>
          <w:tcPr>
            <w:tcW w:w="14021" w:type="dxa"/>
            <w:gridSpan w:val="4"/>
            <w:shd w:val="clear" w:color="auto" w:fill="FFFF00"/>
          </w:tcPr>
          <w:p w14:paraId="28D9E179" w14:textId="77777777" w:rsidR="00292D29" w:rsidRPr="00431349" w:rsidRDefault="00292D29" w:rsidP="00586D6A">
            <w:pPr>
              <w:rPr>
                <w:rFonts w:cstheme="minorHAnsi"/>
                <w:b/>
                <w:sz w:val="18"/>
                <w:szCs w:val="18"/>
              </w:rPr>
            </w:pPr>
            <w:r w:rsidRPr="00431349">
              <w:rPr>
                <w:rFonts w:cstheme="minorHAnsi"/>
                <w:b/>
                <w:sz w:val="18"/>
                <w:szCs w:val="18"/>
              </w:rPr>
              <w:lastRenderedPageBreak/>
              <w:t>REVENUE SERVICE, Ministry of Finance</w:t>
            </w:r>
          </w:p>
        </w:tc>
      </w:tr>
      <w:tr w:rsidR="00292D29" w:rsidRPr="00431349" w14:paraId="53368849" w14:textId="77777777" w:rsidTr="00586D6A">
        <w:trPr>
          <w:trHeight w:val="299"/>
        </w:trPr>
        <w:tc>
          <w:tcPr>
            <w:tcW w:w="353" w:type="dxa"/>
            <w:shd w:val="clear" w:color="auto" w:fill="B4C6E7" w:themeFill="accent5" w:themeFillTint="66"/>
          </w:tcPr>
          <w:p w14:paraId="58C6BF58" w14:textId="77777777" w:rsidR="00292D29" w:rsidRPr="00431349" w:rsidRDefault="00292D29" w:rsidP="00586D6A">
            <w:pPr>
              <w:jc w:val="center"/>
              <w:rPr>
                <w:rFonts w:cstheme="minorHAnsi"/>
                <w:sz w:val="18"/>
                <w:szCs w:val="18"/>
              </w:rPr>
            </w:pPr>
          </w:p>
        </w:tc>
        <w:tc>
          <w:tcPr>
            <w:tcW w:w="3304" w:type="dxa"/>
            <w:shd w:val="clear" w:color="auto" w:fill="B4C6E7" w:themeFill="accent5" w:themeFillTint="66"/>
          </w:tcPr>
          <w:p w14:paraId="5BA7811D" w14:textId="77777777" w:rsidR="00292D29" w:rsidRPr="00431349" w:rsidRDefault="00292D29" w:rsidP="00586D6A">
            <w:pPr>
              <w:rPr>
                <w:rFonts w:cstheme="minorHAnsi"/>
                <w:sz w:val="18"/>
                <w:szCs w:val="18"/>
              </w:rPr>
            </w:pPr>
            <w:r w:rsidRPr="00431349">
              <w:rPr>
                <w:rFonts w:cstheme="minorHAnsi"/>
                <w:sz w:val="18"/>
                <w:szCs w:val="18"/>
              </w:rPr>
              <w:t>Activity</w:t>
            </w:r>
          </w:p>
        </w:tc>
        <w:tc>
          <w:tcPr>
            <w:tcW w:w="1476" w:type="dxa"/>
            <w:shd w:val="clear" w:color="auto" w:fill="B4C6E7" w:themeFill="accent5" w:themeFillTint="66"/>
          </w:tcPr>
          <w:p w14:paraId="44110FD3" w14:textId="77777777" w:rsidR="00292D29" w:rsidRPr="00431349" w:rsidRDefault="00292D29" w:rsidP="00586D6A">
            <w:pPr>
              <w:rPr>
                <w:rFonts w:cstheme="minorHAnsi"/>
                <w:sz w:val="18"/>
                <w:szCs w:val="18"/>
              </w:rPr>
            </w:pPr>
            <w:r w:rsidRPr="00431349">
              <w:rPr>
                <w:rFonts w:cstheme="minorHAnsi"/>
                <w:sz w:val="18"/>
                <w:szCs w:val="18"/>
              </w:rPr>
              <w:t>Dates of implementation</w:t>
            </w:r>
          </w:p>
          <w:p w14:paraId="5D98E6C5" w14:textId="77777777" w:rsidR="00292D29" w:rsidRPr="00431349" w:rsidRDefault="00292D29" w:rsidP="00586D6A">
            <w:pPr>
              <w:rPr>
                <w:rFonts w:cstheme="minorHAnsi"/>
                <w:sz w:val="18"/>
                <w:szCs w:val="18"/>
              </w:rPr>
            </w:pPr>
            <w:r w:rsidRPr="00431349">
              <w:rPr>
                <w:rFonts w:cstheme="minorHAnsi"/>
                <w:sz w:val="18"/>
                <w:szCs w:val="18"/>
              </w:rPr>
              <w:t xml:space="preserve">(2020 - 2021) </w:t>
            </w:r>
          </w:p>
        </w:tc>
        <w:tc>
          <w:tcPr>
            <w:tcW w:w="8888" w:type="dxa"/>
            <w:shd w:val="clear" w:color="auto" w:fill="B4C6E7" w:themeFill="accent5" w:themeFillTint="66"/>
          </w:tcPr>
          <w:p w14:paraId="4DD9FA98" w14:textId="77777777" w:rsidR="00292D29" w:rsidRPr="00431349" w:rsidRDefault="00292D29" w:rsidP="00586D6A">
            <w:pPr>
              <w:rPr>
                <w:rFonts w:cstheme="minorHAnsi"/>
                <w:sz w:val="18"/>
                <w:szCs w:val="18"/>
              </w:rPr>
            </w:pPr>
            <w:r w:rsidRPr="00431349">
              <w:rPr>
                <w:rFonts w:cstheme="minorHAnsi"/>
                <w:sz w:val="18"/>
                <w:szCs w:val="18"/>
              </w:rPr>
              <w:t>Comment/Justification/</w:t>
            </w:r>
          </w:p>
          <w:p w14:paraId="3E6F69B1" w14:textId="77777777" w:rsidR="00292D29" w:rsidRPr="00431349" w:rsidRDefault="00292D29" w:rsidP="00586D6A">
            <w:pPr>
              <w:rPr>
                <w:rFonts w:cstheme="minorHAnsi"/>
                <w:sz w:val="18"/>
                <w:szCs w:val="18"/>
              </w:rPr>
            </w:pPr>
            <w:r w:rsidRPr="00431349">
              <w:rPr>
                <w:rFonts w:cstheme="minorHAnsi"/>
                <w:sz w:val="18"/>
                <w:szCs w:val="18"/>
              </w:rPr>
              <w:t>Baseline</w:t>
            </w:r>
          </w:p>
        </w:tc>
      </w:tr>
      <w:tr w:rsidR="00292D29" w:rsidRPr="00431349" w14:paraId="2DB26B80" w14:textId="77777777" w:rsidTr="00586D6A">
        <w:trPr>
          <w:trHeight w:val="573"/>
        </w:trPr>
        <w:tc>
          <w:tcPr>
            <w:tcW w:w="353" w:type="dxa"/>
          </w:tcPr>
          <w:p w14:paraId="6E174251" w14:textId="77777777" w:rsidR="00292D29" w:rsidRPr="00431349" w:rsidRDefault="00292D29" w:rsidP="00586D6A">
            <w:pPr>
              <w:numPr>
                <w:ilvl w:val="0"/>
                <w:numId w:val="3"/>
              </w:numPr>
              <w:contextualSpacing/>
              <w:jc w:val="center"/>
              <w:rPr>
                <w:rFonts w:cstheme="minorHAnsi"/>
                <w:sz w:val="18"/>
                <w:szCs w:val="18"/>
                <w:lang w:val="ka-GE"/>
              </w:rPr>
            </w:pPr>
          </w:p>
        </w:tc>
        <w:tc>
          <w:tcPr>
            <w:tcW w:w="3304" w:type="dxa"/>
          </w:tcPr>
          <w:p w14:paraId="0D58098D" w14:textId="77777777" w:rsidR="00292D29" w:rsidRPr="00431349" w:rsidRDefault="00292D29" w:rsidP="00586D6A">
            <w:pPr>
              <w:rPr>
                <w:rFonts w:cstheme="minorHAnsi"/>
                <w:sz w:val="18"/>
                <w:szCs w:val="18"/>
              </w:rPr>
            </w:pPr>
            <w:r w:rsidRPr="00431349">
              <w:rPr>
                <w:rFonts w:cstheme="minorHAnsi"/>
                <w:sz w:val="18"/>
                <w:szCs w:val="18"/>
              </w:rPr>
              <w:t>Workshop on the EU best practices on matters related to administration of Rules of Origin by member state Customs Administrations</w:t>
            </w:r>
          </w:p>
        </w:tc>
        <w:tc>
          <w:tcPr>
            <w:tcW w:w="1476" w:type="dxa"/>
          </w:tcPr>
          <w:p w14:paraId="05731DE6" w14:textId="77777777" w:rsidR="00292D29" w:rsidRPr="00431349" w:rsidRDefault="00292D29" w:rsidP="00586D6A">
            <w:pPr>
              <w:rPr>
                <w:rFonts w:cstheme="minorHAnsi"/>
                <w:sz w:val="18"/>
                <w:szCs w:val="18"/>
              </w:rPr>
            </w:pPr>
            <w:r w:rsidRPr="00431349">
              <w:rPr>
                <w:rFonts w:cstheme="minorHAnsi"/>
                <w:sz w:val="18"/>
                <w:szCs w:val="18"/>
              </w:rPr>
              <w:t>September</w:t>
            </w:r>
            <w:r w:rsidRPr="00431349">
              <w:rPr>
                <w:rFonts w:cstheme="minorHAnsi"/>
                <w:sz w:val="18"/>
                <w:szCs w:val="18"/>
                <w:lang w:val="ka-GE"/>
              </w:rPr>
              <w:t xml:space="preserve"> </w:t>
            </w:r>
            <w:r w:rsidRPr="00431349">
              <w:rPr>
                <w:rFonts w:cstheme="minorHAnsi"/>
                <w:sz w:val="18"/>
                <w:szCs w:val="18"/>
              </w:rPr>
              <w:t>– October 2020</w:t>
            </w:r>
          </w:p>
        </w:tc>
        <w:tc>
          <w:tcPr>
            <w:tcW w:w="8888" w:type="dxa"/>
          </w:tcPr>
          <w:p w14:paraId="2C4EB275" w14:textId="77777777" w:rsidR="00292D29" w:rsidRPr="00431349" w:rsidRDefault="00292D29" w:rsidP="00586D6A">
            <w:pPr>
              <w:rPr>
                <w:rFonts w:cstheme="minorHAnsi"/>
                <w:sz w:val="18"/>
                <w:szCs w:val="18"/>
              </w:rPr>
            </w:pPr>
            <w:r w:rsidRPr="00431349">
              <w:rPr>
                <w:rFonts w:cstheme="minorHAnsi"/>
                <w:sz w:val="18"/>
                <w:szCs w:val="18"/>
              </w:rPr>
              <w:t>Workshop for Customs staff including medium to high level management on matters related to the best practice concerning administration of Rules of Origin (</w:t>
            </w:r>
            <w:proofErr w:type="spellStart"/>
            <w:r w:rsidRPr="00431349">
              <w:rPr>
                <w:rFonts w:cstheme="minorHAnsi"/>
                <w:sz w:val="18"/>
                <w:szCs w:val="18"/>
              </w:rPr>
              <w:t>RoO</w:t>
            </w:r>
            <w:proofErr w:type="spellEnd"/>
            <w:r w:rsidRPr="00431349">
              <w:rPr>
                <w:rFonts w:cstheme="minorHAnsi"/>
                <w:sz w:val="18"/>
                <w:szCs w:val="18"/>
              </w:rPr>
              <w:t xml:space="preserve">) related regulations on national level in the EU member states should allow participants to gain a better understanding of specific procedures and regulations that govern </w:t>
            </w:r>
            <w:proofErr w:type="spellStart"/>
            <w:r w:rsidRPr="00431349">
              <w:rPr>
                <w:rFonts w:cstheme="minorHAnsi"/>
                <w:sz w:val="18"/>
                <w:szCs w:val="18"/>
              </w:rPr>
              <w:t>RoO</w:t>
            </w:r>
            <w:proofErr w:type="spellEnd"/>
            <w:r w:rsidRPr="00431349">
              <w:rPr>
                <w:rFonts w:cstheme="minorHAnsi"/>
                <w:sz w:val="18"/>
                <w:szCs w:val="18"/>
              </w:rPr>
              <w:t xml:space="preserve"> procedures including processing of relevant requests and issuance of Certificates; validation of origin criteria as well as management of related risks and workloads. Participants of the Workshop need to elaborate a revised concept of the </w:t>
            </w:r>
            <w:proofErr w:type="spellStart"/>
            <w:r w:rsidRPr="00431349">
              <w:rPr>
                <w:rFonts w:cstheme="minorHAnsi"/>
                <w:sz w:val="18"/>
                <w:szCs w:val="18"/>
              </w:rPr>
              <w:t>RoO</w:t>
            </w:r>
            <w:proofErr w:type="spellEnd"/>
            <w:r w:rsidRPr="00431349">
              <w:rPr>
                <w:rFonts w:cstheme="minorHAnsi"/>
                <w:sz w:val="18"/>
                <w:szCs w:val="18"/>
              </w:rPr>
              <w:t xml:space="preserve"> related procedures.</w:t>
            </w:r>
          </w:p>
          <w:p w14:paraId="62210B4B" w14:textId="77777777" w:rsidR="00292D29" w:rsidRPr="00431349" w:rsidRDefault="00292D29" w:rsidP="00586D6A">
            <w:pPr>
              <w:rPr>
                <w:rFonts w:cstheme="minorHAnsi"/>
                <w:sz w:val="18"/>
                <w:szCs w:val="18"/>
              </w:rPr>
            </w:pPr>
            <w:r w:rsidRPr="00431349">
              <w:rPr>
                <w:rFonts w:cstheme="minorHAnsi"/>
                <w:sz w:val="18"/>
                <w:szCs w:val="18"/>
              </w:rPr>
              <w:t xml:space="preserve">On July 1, 2017 Georgia became a contracting party to the Regional Convention on Pan-Euro-Mediterranean (PEM) preferential rules of origin as suggested by Paragraph 2 of Article 38 of the Protocol I (Concerning the definition of the concept of ‘Originating products’ and methods of administrative cooperation) to the Association Agreement. On March 20, 2018 Customs Sub-Committee between Georgia and the EU has issued decision N1 2018 replacing the Protocol I of the Association Agreement with reference to the PEM convention, decision came into force June 1 of the same year effectively replacing the previously used rules with that of provided in the convention. All of the above creates new value chains between Georgia and some of its main trading partners significantly increasing the need of a coherent fluid system for determination, certification and verification of the origin of goods. The system needs to take into account the risk based element as well allowing for reduced expenditures of time and resources both of the Customs administration and the traders alike. </w:t>
            </w:r>
            <w:r w:rsidRPr="00431349">
              <w:rPr>
                <w:rFonts w:eastAsia="MS Mincho" w:cstheme="minorHAnsi"/>
                <w:sz w:val="18"/>
                <w:szCs w:val="18"/>
                <w:lang w:val="en-GB"/>
              </w:rPr>
              <w:t xml:space="preserve">Strengthening of </w:t>
            </w:r>
            <w:proofErr w:type="spellStart"/>
            <w:r w:rsidRPr="00431349">
              <w:rPr>
                <w:rFonts w:eastAsia="MS Mincho" w:cstheme="minorHAnsi"/>
                <w:sz w:val="18"/>
                <w:szCs w:val="18"/>
                <w:lang w:val="en-GB"/>
              </w:rPr>
              <w:t>RoO</w:t>
            </w:r>
            <w:proofErr w:type="spellEnd"/>
            <w:r w:rsidRPr="00431349">
              <w:rPr>
                <w:rFonts w:eastAsia="MS Mincho" w:cstheme="minorHAnsi"/>
                <w:sz w:val="18"/>
                <w:szCs w:val="18"/>
                <w:lang w:val="en-GB"/>
              </w:rPr>
              <w:t xml:space="preserve"> capacity of Georgia Revenue Service is included in the National Action Plan of the Association Agenda between Georgia and the EU.</w:t>
            </w:r>
          </w:p>
          <w:p w14:paraId="28BB1F74" w14:textId="77777777" w:rsidR="00292D29" w:rsidRPr="00431349" w:rsidRDefault="00292D29" w:rsidP="00586D6A">
            <w:pPr>
              <w:rPr>
                <w:rFonts w:cstheme="minorHAnsi"/>
                <w:sz w:val="18"/>
                <w:szCs w:val="18"/>
              </w:rPr>
            </w:pPr>
          </w:p>
        </w:tc>
      </w:tr>
      <w:tr w:rsidR="00292D29" w:rsidRPr="00431349" w14:paraId="23586CFE" w14:textId="77777777" w:rsidTr="00586D6A">
        <w:trPr>
          <w:trHeight w:val="573"/>
        </w:trPr>
        <w:tc>
          <w:tcPr>
            <w:tcW w:w="353" w:type="dxa"/>
          </w:tcPr>
          <w:p w14:paraId="30D2D67B" w14:textId="77777777" w:rsidR="00292D29" w:rsidRPr="00431349" w:rsidRDefault="00292D29" w:rsidP="00586D6A">
            <w:pPr>
              <w:numPr>
                <w:ilvl w:val="0"/>
                <w:numId w:val="3"/>
              </w:numPr>
              <w:contextualSpacing/>
              <w:rPr>
                <w:rFonts w:cstheme="minorHAnsi"/>
                <w:sz w:val="18"/>
                <w:szCs w:val="18"/>
                <w:lang w:val="ka-GE"/>
              </w:rPr>
            </w:pPr>
          </w:p>
        </w:tc>
        <w:tc>
          <w:tcPr>
            <w:tcW w:w="3304" w:type="dxa"/>
          </w:tcPr>
          <w:p w14:paraId="237B0361" w14:textId="77777777" w:rsidR="00292D29" w:rsidRPr="00431349" w:rsidRDefault="00292D29" w:rsidP="00586D6A">
            <w:pPr>
              <w:rPr>
                <w:rFonts w:cstheme="minorHAnsi"/>
                <w:sz w:val="18"/>
                <w:szCs w:val="18"/>
              </w:rPr>
            </w:pPr>
            <w:r w:rsidRPr="00431349">
              <w:rPr>
                <w:rFonts w:cstheme="minorHAnsi"/>
                <w:sz w:val="18"/>
                <w:szCs w:val="18"/>
              </w:rPr>
              <w:t xml:space="preserve">Workshop on detailed conditions and criteria for the reduction of the plant health checks of plants, plant products or other objects  </w:t>
            </w:r>
          </w:p>
        </w:tc>
        <w:tc>
          <w:tcPr>
            <w:tcW w:w="1476" w:type="dxa"/>
          </w:tcPr>
          <w:p w14:paraId="413D59C9" w14:textId="77777777" w:rsidR="00292D29" w:rsidRPr="00431349" w:rsidRDefault="00292D29" w:rsidP="00586D6A">
            <w:pPr>
              <w:rPr>
                <w:rFonts w:cstheme="minorHAnsi"/>
                <w:sz w:val="18"/>
                <w:szCs w:val="18"/>
              </w:rPr>
            </w:pPr>
            <w:r w:rsidRPr="00826AAD">
              <w:rPr>
                <w:rFonts w:cstheme="minorHAnsi"/>
                <w:sz w:val="18"/>
                <w:szCs w:val="18"/>
              </w:rPr>
              <w:t>September</w:t>
            </w:r>
            <w:r w:rsidRPr="00826AAD">
              <w:rPr>
                <w:rFonts w:cstheme="minorHAnsi"/>
                <w:sz w:val="18"/>
                <w:szCs w:val="18"/>
                <w:lang w:val="ka-GE"/>
              </w:rPr>
              <w:t xml:space="preserve"> </w:t>
            </w:r>
            <w:r w:rsidRPr="00826AAD">
              <w:rPr>
                <w:rFonts w:cstheme="minorHAnsi"/>
                <w:sz w:val="18"/>
                <w:szCs w:val="18"/>
              </w:rPr>
              <w:t>2020</w:t>
            </w:r>
            <w:r w:rsidRPr="00826AAD">
              <w:rPr>
                <w:rFonts w:cstheme="minorHAnsi"/>
                <w:sz w:val="18"/>
                <w:szCs w:val="18"/>
                <w:lang w:val="ka-GE"/>
              </w:rPr>
              <w:t xml:space="preserve"> – </w:t>
            </w:r>
            <w:r w:rsidRPr="00826AAD">
              <w:rPr>
                <w:rFonts w:cstheme="minorHAnsi"/>
                <w:sz w:val="18"/>
                <w:szCs w:val="18"/>
              </w:rPr>
              <w:t xml:space="preserve">April </w:t>
            </w:r>
            <w:r w:rsidRPr="00826AAD">
              <w:rPr>
                <w:rFonts w:cstheme="minorHAnsi"/>
                <w:sz w:val="18"/>
                <w:szCs w:val="18"/>
                <w:lang w:val="ka-GE"/>
              </w:rPr>
              <w:t>2021</w:t>
            </w:r>
          </w:p>
        </w:tc>
        <w:tc>
          <w:tcPr>
            <w:tcW w:w="8888" w:type="dxa"/>
          </w:tcPr>
          <w:p w14:paraId="69AA3AAD" w14:textId="77777777" w:rsidR="00292D29" w:rsidRPr="00431349" w:rsidRDefault="00292D29" w:rsidP="00586D6A">
            <w:pPr>
              <w:rPr>
                <w:rFonts w:cstheme="minorHAnsi"/>
                <w:b/>
                <w:sz w:val="18"/>
                <w:szCs w:val="18"/>
              </w:rPr>
            </w:pPr>
            <w:r w:rsidRPr="00431349">
              <w:rPr>
                <w:rFonts w:cstheme="minorHAnsi"/>
                <w:sz w:val="18"/>
                <w:szCs w:val="18"/>
              </w:rPr>
              <w:t>Workshop on relevant procedures would focus on</w:t>
            </w:r>
            <w:r w:rsidRPr="00431349">
              <w:rPr>
                <w:rFonts w:cstheme="minorHAnsi"/>
                <w:b/>
                <w:sz w:val="18"/>
                <w:szCs w:val="18"/>
              </w:rPr>
              <w:t xml:space="preserve"> </w:t>
            </w:r>
            <w:r w:rsidRPr="00431349">
              <w:rPr>
                <w:rFonts w:cstheme="minorHAnsi"/>
                <w:sz w:val="18"/>
                <w:szCs w:val="18"/>
              </w:rPr>
              <w:t>a) identifying criteria for reduced frequency of certain products b) sharing experience of the EU countries in elaborating lists of such products</w:t>
            </w:r>
            <w:r w:rsidRPr="00431349">
              <w:rPr>
                <w:rFonts w:cstheme="minorHAnsi"/>
                <w:b/>
                <w:sz w:val="18"/>
                <w:szCs w:val="18"/>
              </w:rPr>
              <w:t xml:space="preserve">. </w:t>
            </w:r>
          </w:p>
          <w:p w14:paraId="4299E3B4" w14:textId="77777777" w:rsidR="00292D29" w:rsidRPr="00431349" w:rsidRDefault="00292D29" w:rsidP="00586D6A">
            <w:pPr>
              <w:rPr>
                <w:rFonts w:cstheme="minorHAnsi"/>
                <w:sz w:val="18"/>
                <w:szCs w:val="18"/>
              </w:rPr>
            </w:pPr>
            <w:r w:rsidRPr="00431349">
              <w:rPr>
                <w:rFonts w:cstheme="minorHAnsi"/>
                <w:sz w:val="18"/>
                <w:szCs w:val="18"/>
              </w:rPr>
              <w:t>Amendment to regulation N463 on “Approval of the rule of the Phytosanitary Border Quarantine Control and Veterinary Border Quarantine Control,” which means creating a list of products subject to reduced plant health check.” The list should be elaborated together with the National Food Agency and adopted by the Head of the National Food Agency.</w:t>
            </w:r>
          </w:p>
          <w:p w14:paraId="24C1369A" w14:textId="77777777" w:rsidR="00292D29" w:rsidRPr="00431349" w:rsidRDefault="00292D29" w:rsidP="00586D6A">
            <w:pPr>
              <w:rPr>
                <w:rFonts w:cstheme="minorHAnsi"/>
                <w:sz w:val="18"/>
                <w:szCs w:val="18"/>
              </w:rPr>
            </w:pPr>
            <w:r w:rsidRPr="00431349">
              <w:rPr>
                <w:rFonts w:cstheme="minorHAnsi"/>
                <w:sz w:val="18"/>
                <w:szCs w:val="18"/>
              </w:rPr>
              <w:t>Based on: (COMMISSION REGULATION (EC) No 1756/2004 of 11 October 2004 „specifying the detailed conditions for the evidence required and the criteria for the type and level of the reduction of the plant health checks of certain plants, plant products or other objects listed in Part B of Annex V to Council Directive 2000/29/EC“)</w:t>
            </w:r>
          </w:p>
        </w:tc>
      </w:tr>
      <w:tr w:rsidR="00292D29" w:rsidRPr="00431349" w14:paraId="26AC0CA6" w14:textId="77777777" w:rsidTr="00586D6A">
        <w:trPr>
          <w:trHeight w:val="2519"/>
        </w:trPr>
        <w:tc>
          <w:tcPr>
            <w:tcW w:w="353" w:type="dxa"/>
          </w:tcPr>
          <w:p w14:paraId="125A04D9" w14:textId="77777777" w:rsidR="00292D29" w:rsidRPr="00431349" w:rsidRDefault="00292D29" w:rsidP="00586D6A">
            <w:pPr>
              <w:numPr>
                <w:ilvl w:val="0"/>
                <w:numId w:val="3"/>
              </w:numPr>
              <w:contextualSpacing/>
              <w:rPr>
                <w:rFonts w:cstheme="minorHAnsi"/>
                <w:sz w:val="18"/>
                <w:szCs w:val="18"/>
                <w:lang w:val="ka-GE"/>
              </w:rPr>
            </w:pPr>
          </w:p>
        </w:tc>
        <w:tc>
          <w:tcPr>
            <w:tcW w:w="3304" w:type="dxa"/>
          </w:tcPr>
          <w:p w14:paraId="2278B1A1" w14:textId="77777777" w:rsidR="00292D29" w:rsidRPr="00431349" w:rsidRDefault="00292D29" w:rsidP="00586D6A">
            <w:pPr>
              <w:rPr>
                <w:rFonts w:cstheme="minorHAnsi"/>
                <w:sz w:val="18"/>
                <w:szCs w:val="18"/>
              </w:rPr>
            </w:pPr>
            <w:r w:rsidRPr="00431349">
              <w:rPr>
                <w:rFonts w:cstheme="minorHAnsi"/>
                <w:sz w:val="18"/>
                <w:szCs w:val="18"/>
              </w:rPr>
              <w:t xml:space="preserve">Workshop “Monitoring Plans” – basic principles and methodology – in </w:t>
            </w:r>
            <w:proofErr w:type="spellStart"/>
            <w:r w:rsidRPr="00431349">
              <w:rPr>
                <w:rFonts w:cstheme="minorHAnsi"/>
                <w:sz w:val="18"/>
                <w:szCs w:val="18"/>
              </w:rPr>
              <w:t>Phytosanitry</w:t>
            </w:r>
            <w:proofErr w:type="spellEnd"/>
            <w:r w:rsidRPr="00431349">
              <w:rPr>
                <w:rFonts w:cstheme="minorHAnsi"/>
                <w:sz w:val="18"/>
                <w:szCs w:val="18"/>
              </w:rPr>
              <w:t xml:space="preserve"> border control procedures</w:t>
            </w:r>
          </w:p>
        </w:tc>
        <w:tc>
          <w:tcPr>
            <w:tcW w:w="1476" w:type="dxa"/>
          </w:tcPr>
          <w:p w14:paraId="0B433B31" w14:textId="77777777" w:rsidR="00292D29" w:rsidRPr="00431349" w:rsidRDefault="00292D29" w:rsidP="00586D6A">
            <w:pPr>
              <w:rPr>
                <w:rFonts w:cstheme="minorHAnsi"/>
                <w:sz w:val="18"/>
                <w:szCs w:val="18"/>
              </w:rPr>
            </w:pPr>
            <w:r w:rsidRPr="00826AAD">
              <w:rPr>
                <w:rFonts w:cstheme="minorHAnsi"/>
                <w:sz w:val="18"/>
                <w:szCs w:val="18"/>
              </w:rPr>
              <w:t>September</w:t>
            </w:r>
            <w:r w:rsidRPr="00826AAD">
              <w:rPr>
                <w:rFonts w:cstheme="minorHAnsi"/>
                <w:sz w:val="18"/>
                <w:szCs w:val="18"/>
                <w:lang w:val="ka-GE"/>
              </w:rPr>
              <w:t xml:space="preserve"> </w:t>
            </w:r>
            <w:r w:rsidRPr="00826AAD">
              <w:rPr>
                <w:rFonts w:cstheme="minorHAnsi"/>
                <w:sz w:val="18"/>
                <w:szCs w:val="18"/>
              </w:rPr>
              <w:t>2020</w:t>
            </w:r>
            <w:r w:rsidRPr="00826AAD">
              <w:rPr>
                <w:rFonts w:cstheme="minorHAnsi"/>
                <w:sz w:val="18"/>
                <w:szCs w:val="18"/>
                <w:lang w:val="ka-GE"/>
              </w:rPr>
              <w:t xml:space="preserve"> – </w:t>
            </w:r>
            <w:r w:rsidRPr="00826AAD">
              <w:rPr>
                <w:rFonts w:cstheme="minorHAnsi"/>
                <w:sz w:val="18"/>
                <w:szCs w:val="18"/>
              </w:rPr>
              <w:t xml:space="preserve">April </w:t>
            </w:r>
            <w:r w:rsidRPr="00826AAD">
              <w:rPr>
                <w:rFonts w:cstheme="minorHAnsi"/>
                <w:sz w:val="18"/>
                <w:szCs w:val="18"/>
                <w:lang w:val="ka-GE"/>
              </w:rPr>
              <w:t>2021</w:t>
            </w:r>
          </w:p>
        </w:tc>
        <w:tc>
          <w:tcPr>
            <w:tcW w:w="8888" w:type="dxa"/>
          </w:tcPr>
          <w:p w14:paraId="2D428824" w14:textId="77777777" w:rsidR="00292D29" w:rsidRPr="00431349" w:rsidRDefault="00292D29" w:rsidP="00586D6A">
            <w:pPr>
              <w:rPr>
                <w:rFonts w:cstheme="minorHAnsi"/>
                <w:sz w:val="18"/>
                <w:szCs w:val="18"/>
              </w:rPr>
            </w:pPr>
            <w:r w:rsidRPr="00431349">
              <w:rPr>
                <w:rFonts w:cstheme="minorHAnsi"/>
                <w:sz w:val="18"/>
                <w:szCs w:val="18"/>
              </w:rPr>
              <w:t xml:space="preserve">Workshop on basic principles and methodology for elaborating of monitoring plans </w:t>
            </w:r>
            <w:proofErr w:type="gramStart"/>
            <w:r w:rsidRPr="00431349">
              <w:rPr>
                <w:rFonts w:cstheme="minorHAnsi"/>
                <w:sz w:val="18"/>
                <w:szCs w:val="18"/>
              </w:rPr>
              <w:t>in  phytosanitary</w:t>
            </w:r>
            <w:proofErr w:type="gramEnd"/>
            <w:r w:rsidRPr="00431349">
              <w:rPr>
                <w:rFonts w:cstheme="minorHAnsi"/>
                <w:sz w:val="18"/>
                <w:szCs w:val="18"/>
              </w:rPr>
              <w:t xml:space="preserve"> border control procedures should aim at improving quality of  the MP. </w:t>
            </w:r>
          </w:p>
          <w:p w14:paraId="6C6D8F8A" w14:textId="77777777" w:rsidR="00292D29" w:rsidRPr="00431349" w:rsidRDefault="00292D29" w:rsidP="00586D6A">
            <w:pPr>
              <w:rPr>
                <w:rFonts w:cstheme="minorHAnsi"/>
                <w:sz w:val="18"/>
                <w:szCs w:val="18"/>
              </w:rPr>
            </w:pPr>
            <w:r w:rsidRPr="00431349">
              <w:rPr>
                <w:rFonts w:cstheme="minorHAnsi"/>
                <w:sz w:val="18"/>
                <w:szCs w:val="18"/>
              </w:rPr>
              <w:t>The sampling frequency during phytosanitary border control should be based on certain criteria and principles and should be reviewed periodically. According to active monitoring plans (</w:t>
            </w:r>
            <w:proofErr w:type="gramStart"/>
            <w:r w:rsidRPr="00431349">
              <w:rPr>
                <w:rFonts w:cstheme="minorHAnsi"/>
                <w:sz w:val="18"/>
                <w:szCs w:val="18"/>
              </w:rPr>
              <w:t>1-6 month</w:t>
            </w:r>
            <w:proofErr w:type="gramEnd"/>
            <w:r w:rsidRPr="00431349">
              <w:rPr>
                <w:rFonts w:cstheme="minorHAnsi"/>
                <w:sz w:val="18"/>
                <w:szCs w:val="18"/>
              </w:rPr>
              <w:t xml:space="preserve"> 2019): Phytosanitary – samples 1804; Detections 20. It is evident that the effectiveness of the current monitoring plan is very low and it requires prompt re-elaboration (monitoring plan is different from “the list of products subject to reduced plant health check” mentioned in 2nd activity).</w:t>
            </w:r>
          </w:p>
          <w:p w14:paraId="42287F65" w14:textId="77777777" w:rsidR="00292D29" w:rsidRPr="00431349" w:rsidRDefault="00292D29" w:rsidP="00586D6A">
            <w:pPr>
              <w:rPr>
                <w:rFonts w:cstheme="minorHAnsi"/>
                <w:sz w:val="18"/>
                <w:szCs w:val="18"/>
              </w:rPr>
            </w:pPr>
            <w:r w:rsidRPr="00431349">
              <w:rPr>
                <w:rFonts w:cstheme="minorHAnsi"/>
                <w:i/>
                <w:sz w:val="18"/>
                <w:szCs w:val="18"/>
              </w:rPr>
              <w:t xml:space="preserve">Note: Proposed as a follow-up of the Workshop “Monitoring Plans” – basic principles and methodology in Veterinary and Food safety was provided with support of AAF on 22-23 January, i.e. need to provide specific workshop for phytosanitary. </w:t>
            </w:r>
          </w:p>
        </w:tc>
      </w:tr>
      <w:tr w:rsidR="00A07354" w:rsidRPr="00431349" w14:paraId="2957E64A" w14:textId="77777777" w:rsidTr="00586D6A">
        <w:trPr>
          <w:trHeight w:val="2519"/>
        </w:trPr>
        <w:tc>
          <w:tcPr>
            <w:tcW w:w="353" w:type="dxa"/>
          </w:tcPr>
          <w:p w14:paraId="1DEE2F94" w14:textId="77777777" w:rsidR="00A07354" w:rsidRPr="00431349" w:rsidRDefault="00A07354" w:rsidP="00586D6A">
            <w:pPr>
              <w:numPr>
                <w:ilvl w:val="0"/>
                <w:numId w:val="3"/>
              </w:numPr>
              <w:contextualSpacing/>
              <w:rPr>
                <w:rFonts w:cstheme="minorHAnsi"/>
                <w:sz w:val="18"/>
                <w:szCs w:val="18"/>
                <w:lang w:val="ka-GE"/>
              </w:rPr>
            </w:pPr>
          </w:p>
        </w:tc>
        <w:tc>
          <w:tcPr>
            <w:tcW w:w="3304" w:type="dxa"/>
          </w:tcPr>
          <w:p w14:paraId="55A3F643" w14:textId="77777777" w:rsidR="00A07354" w:rsidRPr="00431349" w:rsidRDefault="00A07354" w:rsidP="00586D6A">
            <w:pPr>
              <w:rPr>
                <w:rFonts w:cstheme="minorHAnsi"/>
                <w:sz w:val="18"/>
                <w:szCs w:val="18"/>
              </w:rPr>
            </w:pPr>
          </w:p>
        </w:tc>
        <w:tc>
          <w:tcPr>
            <w:tcW w:w="1476" w:type="dxa"/>
          </w:tcPr>
          <w:p w14:paraId="0E2B5CB5" w14:textId="77777777" w:rsidR="00A07354" w:rsidRPr="00826AAD" w:rsidRDefault="00A07354" w:rsidP="00586D6A">
            <w:pPr>
              <w:rPr>
                <w:rFonts w:cstheme="minorHAnsi"/>
                <w:sz w:val="18"/>
                <w:szCs w:val="18"/>
              </w:rPr>
            </w:pPr>
          </w:p>
        </w:tc>
        <w:tc>
          <w:tcPr>
            <w:tcW w:w="8888" w:type="dxa"/>
          </w:tcPr>
          <w:p w14:paraId="3090429A" w14:textId="77777777" w:rsidR="00A07354" w:rsidRPr="00431349" w:rsidRDefault="00A07354" w:rsidP="00586D6A">
            <w:pPr>
              <w:rPr>
                <w:rFonts w:cstheme="minorHAnsi"/>
                <w:sz w:val="18"/>
                <w:szCs w:val="18"/>
              </w:rPr>
            </w:pPr>
          </w:p>
        </w:tc>
      </w:tr>
      <w:tr w:rsidR="00292D29" w:rsidRPr="00431349" w14:paraId="6DBB23E6" w14:textId="77777777" w:rsidTr="00586D6A">
        <w:trPr>
          <w:trHeight w:val="573"/>
        </w:trPr>
        <w:tc>
          <w:tcPr>
            <w:tcW w:w="353" w:type="dxa"/>
          </w:tcPr>
          <w:p w14:paraId="316E16AB" w14:textId="77777777" w:rsidR="00292D29" w:rsidRPr="00431349" w:rsidRDefault="00292D29" w:rsidP="00586D6A">
            <w:pPr>
              <w:numPr>
                <w:ilvl w:val="0"/>
                <w:numId w:val="3"/>
              </w:numPr>
              <w:contextualSpacing/>
              <w:rPr>
                <w:rFonts w:cstheme="minorHAnsi"/>
                <w:sz w:val="18"/>
                <w:szCs w:val="18"/>
                <w:lang w:val="ka-GE"/>
              </w:rPr>
            </w:pPr>
          </w:p>
        </w:tc>
        <w:tc>
          <w:tcPr>
            <w:tcW w:w="3304" w:type="dxa"/>
          </w:tcPr>
          <w:p w14:paraId="67687A35" w14:textId="77777777" w:rsidR="00292D29" w:rsidRPr="00431349" w:rsidRDefault="00292D29" w:rsidP="00586D6A">
            <w:pPr>
              <w:spacing w:after="120" w:line="276" w:lineRule="auto"/>
              <w:ind w:left="90"/>
              <w:contextualSpacing/>
              <w:rPr>
                <w:rFonts w:ascii="Arial" w:hAnsi="Arial" w:cstheme="minorHAnsi"/>
                <w:color w:val="00000A"/>
                <w:sz w:val="18"/>
                <w:szCs w:val="18"/>
              </w:rPr>
            </w:pPr>
            <w:proofErr w:type="gramStart"/>
            <w:r w:rsidRPr="00431349">
              <w:rPr>
                <w:rFonts w:cstheme="minorHAnsi"/>
                <w:color w:val="00000A"/>
                <w:sz w:val="18"/>
                <w:szCs w:val="18"/>
              </w:rPr>
              <w:t>Workshop  to</w:t>
            </w:r>
            <w:proofErr w:type="gramEnd"/>
            <w:r w:rsidRPr="00431349">
              <w:rPr>
                <w:rFonts w:cstheme="minorHAnsi"/>
                <w:color w:val="00000A"/>
                <w:sz w:val="18"/>
                <w:szCs w:val="18"/>
              </w:rPr>
              <w:t xml:space="preserve"> update existing veterinary border control procedures taking into account the new Official Control Regulation (no. 2017/625) rules. </w:t>
            </w:r>
          </w:p>
        </w:tc>
        <w:tc>
          <w:tcPr>
            <w:tcW w:w="1476" w:type="dxa"/>
          </w:tcPr>
          <w:p w14:paraId="2E252629" w14:textId="77777777" w:rsidR="00292D29" w:rsidRPr="00431349" w:rsidRDefault="00292D29" w:rsidP="00586D6A">
            <w:pPr>
              <w:rPr>
                <w:rFonts w:cstheme="minorHAnsi"/>
                <w:sz w:val="18"/>
                <w:szCs w:val="18"/>
              </w:rPr>
            </w:pPr>
            <w:r w:rsidRPr="00826AAD">
              <w:rPr>
                <w:rFonts w:cstheme="minorHAnsi"/>
                <w:sz w:val="18"/>
                <w:szCs w:val="18"/>
              </w:rPr>
              <w:t>September</w:t>
            </w:r>
            <w:r w:rsidRPr="00826AAD">
              <w:rPr>
                <w:rFonts w:cstheme="minorHAnsi"/>
                <w:sz w:val="18"/>
                <w:szCs w:val="18"/>
                <w:lang w:val="ka-GE"/>
              </w:rPr>
              <w:t xml:space="preserve"> </w:t>
            </w:r>
            <w:r w:rsidRPr="00826AAD">
              <w:rPr>
                <w:rFonts w:cstheme="minorHAnsi"/>
                <w:sz w:val="18"/>
                <w:szCs w:val="18"/>
              </w:rPr>
              <w:t>2020</w:t>
            </w:r>
            <w:r w:rsidRPr="00826AAD">
              <w:rPr>
                <w:rFonts w:cstheme="minorHAnsi"/>
                <w:sz w:val="18"/>
                <w:szCs w:val="18"/>
                <w:lang w:val="ka-GE"/>
              </w:rPr>
              <w:t xml:space="preserve"> – </w:t>
            </w:r>
            <w:r w:rsidRPr="00826AAD">
              <w:rPr>
                <w:rFonts w:cstheme="minorHAnsi"/>
                <w:sz w:val="18"/>
                <w:szCs w:val="18"/>
              </w:rPr>
              <w:t xml:space="preserve">April </w:t>
            </w:r>
            <w:r w:rsidRPr="00826AAD">
              <w:rPr>
                <w:rFonts w:cstheme="minorHAnsi"/>
                <w:sz w:val="18"/>
                <w:szCs w:val="18"/>
                <w:lang w:val="ka-GE"/>
              </w:rPr>
              <w:t>2021</w:t>
            </w:r>
          </w:p>
        </w:tc>
        <w:tc>
          <w:tcPr>
            <w:tcW w:w="8888" w:type="dxa"/>
          </w:tcPr>
          <w:p w14:paraId="6235C3BE" w14:textId="77777777" w:rsidR="00292D29" w:rsidRPr="00431349" w:rsidRDefault="00292D29" w:rsidP="00586D6A">
            <w:pPr>
              <w:rPr>
                <w:rFonts w:cstheme="minorHAnsi"/>
                <w:sz w:val="18"/>
                <w:szCs w:val="18"/>
              </w:rPr>
            </w:pPr>
            <w:r w:rsidRPr="00431349">
              <w:rPr>
                <w:rFonts w:cstheme="minorHAnsi"/>
                <w:sz w:val="18"/>
                <w:szCs w:val="18"/>
              </w:rPr>
              <w:t xml:space="preserve">Workshop for facilitating amendment of existing veterinary border control procedures according to new official control Regulation by sharing relevant EU experience. </w:t>
            </w:r>
          </w:p>
          <w:p w14:paraId="43A3297D" w14:textId="77777777" w:rsidR="00292D29" w:rsidRPr="00431349" w:rsidRDefault="00292D29" w:rsidP="00586D6A">
            <w:pPr>
              <w:rPr>
                <w:rFonts w:cstheme="minorHAnsi"/>
                <w:i/>
                <w:sz w:val="18"/>
                <w:szCs w:val="18"/>
              </w:rPr>
            </w:pPr>
            <w:r w:rsidRPr="00431349">
              <w:rPr>
                <w:rFonts w:cstheme="minorHAnsi"/>
                <w:i/>
                <w:sz w:val="18"/>
                <w:szCs w:val="18"/>
              </w:rPr>
              <w:t>Note: Proposed as recommendation in report of Latvian experts from November 2019.</w:t>
            </w:r>
          </w:p>
          <w:p w14:paraId="657B759A" w14:textId="77777777" w:rsidR="00292D29" w:rsidRPr="00431349" w:rsidRDefault="00292D29" w:rsidP="00586D6A">
            <w:pPr>
              <w:rPr>
                <w:rFonts w:cstheme="minorHAnsi"/>
                <w:i/>
                <w:sz w:val="18"/>
                <w:szCs w:val="18"/>
              </w:rPr>
            </w:pPr>
          </w:p>
          <w:p w14:paraId="4C5B82F1" w14:textId="77777777" w:rsidR="00292D29" w:rsidRPr="00431349" w:rsidRDefault="00292D29" w:rsidP="00586D6A">
            <w:pPr>
              <w:rPr>
                <w:rFonts w:cstheme="minorHAnsi"/>
                <w:color w:val="FF0000"/>
                <w:sz w:val="18"/>
                <w:szCs w:val="18"/>
              </w:rPr>
            </w:pPr>
            <w:r w:rsidRPr="00431349">
              <w:rPr>
                <w:rFonts w:cstheme="minorHAnsi"/>
                <w:i/>
                <w:color w:val="FF0000"/>
                <w:sz w:val="18"/>
                <w:szCs w:val="18"/>
              </w:rPr>
              <w:t>Note: Could be combined with Activity No. 8 (veterinary aspects of minimum requirements)</w:t>
            </w:r>
          </w:p>
        </w:tc>
      </w:tr>
      <w:tr w:rsidR="00292D29" w:rsidRPr="00431349" w14:paraId="4ED6C924" w14:textId="77777777" w:rsidTr="00586D6A">
        <w:trPr>
          <w:trHeight w:val="573"/>
        </w:trPr>
        <w:tc>
          <w:tcPr>
            <w:tcW w:w="353" w:type="dxa"/>
          </w:tcPr>
          <w:p w14:paraId="3F5D3247" w14:textId="77777777" w:rsidR="00292D29" w:rsidRPr="00431349" w:rsidRDefault="00292D29" w:rsidP="00586D6A">
            <w:pPr>
              <w:numPr>
                <w:ilvl w:val="0"/>
                <w:numId w:val="3"/>
              </w:numPr>
              <w:contextualSpacing/>
              <w:rPr>
                <w:rFonts w:cstheme="minorHAnsi"/>
                <w:sz w:val="18"/>
                <w:szCs w:val="18"/>
                <w:lang w:val="ka-GE"/>
              </w:rPr>
            </w:pPr>
          </w:p>
        </w:tc>
        <w:tc>
          <w:tcPr>
            <w:tcW w:w="3304" w:type="dxa"/>
          </w:tcPr>
          <w:p w14:paraId="755EB438" w14:textId="77777777" w:rsidR="00292D29" w:rsidRPr="00431349" w:rsidRDefault="00292D29" w:rsidP="00586D6A">
            <w:pPr>
              <w:spacing w:after="120" w:line="276" w:lineRule="auto"/>
              <w:ind w:left="90"/>
              <w:contextualSpacing/>
              <w:rPr>
                <w:rFonts w:ascii="Arial" w:hAnsi="Arial" w:cstheme="minorHAnsi"/>
                <w:color w:val="00000A"/>
                <w:sz w:val="18"/>
                <w:szCs w:val="18"/>
              </w:rPr>
            </w:pPr>
            <w:r w:rsidRPr="00431349">
              <w:rPr>
                <w:rFonts w:cstheme="minorHAnsi"/>
                <w:color w:val="00000A"/>
                <w:sz w:val="18"/>
                <w:szCs w:val="18"/>
              </w:rPr>
              <w:t xml:space="preserve">Update existing Phytosanitary border control procedures </w:t>
            </w:r>
            <w:proofErr w:type="gramStart"/>
            <w:r w:rsidRPr="00431349">
              <w:rPr>
                <w:rFonts w:cstheme="minorHAnsi"/>
                <w:color w:val="00000A"/>
                <w:sz w:val="18"/>
                <w:szCs w:val="18"/>
              </w:rPr>
              <w:t>taking into account</w:t>
            </w:r>
            <w:proofErr w:type="gramEnd"/>
            <w:r w:rsidRPr="00431349">
              <w:rPr>
                <w:rFonts w:cstheme="minorHAnsi"/>
                <w:color w:val="00000A"/>
                <w:sz w:val="18"/>
                <w:szCs w:val="18"/>
              </w:rPr>
              <w:t xml:space="preserve"> the new Official Control Regulation (no. 2017/625) rules and implementing regulation 2019/2072. </w:t>
            </w:r>
          </w:p>
        </w:tc>
        <w:tc>
          <w:tcPr>
            <w:tcW w:w="1476" w:type="dxa"/>
          </w:tcPr>
          <w:p w14:paraId="4D34ADCC" w14:textId="77777777" w:rsidR="00292D29" w:rsidRPr="00431349" w:rsidRDefault="00292D29" w:rsidP="00586D6A">
            <w:pPr>
              <w:rPr>
                <w:rFonts w:cstheme="minorHAnsi"/>
                <w:sz w:val="18"/>
                <w:szCs w:val="18"/>
              </w:rPr>
            </w:pPr>
            <w:r w:rsidRPr="00826AAD">
              <w:rPr>
                <w:rFonts w:cstheme="minorHAnsi"/>
                <w:sz w:val="18"/>
                <w:szCs w:val="18"/>
              </w:rPr>
              <w:t>September</w:t>
            </w:r>
            <w:r w:rsidRPr="00826AAD">
              <w:rPr>
                <w:rFonts w:cstheme="minorHAnsi"/>
                <w:sz w:val="18"/>
                <w:szCs w:val="18"/>
                <w:lang w:val="ka-GE"/>
              </w:rPr>
              <w:t xml:space="preserve"> </w:t>
            </w:r>
            <w:r w:rsidRPr="00826AAD">
              <w:rPr>
                <w:rFonts w:cstheme="minorHAnsi"/>
                <w:sz w:val="18"/>
                <w:szCs w:val="18"/>
              </w:rPr>
              <w:t>2020</w:t>
            </w:r>
            <w:r w:rsidRPr="00826AAD">
              <w:rPr>
                <w:rFonts w:cstheme="minorHAnsi"/>
                <w:sz w:val="18"/>
                <w:szCs w:val="18"/>
                <w:lang w:val="ka-GE"/>
              </w:rPr>
              <w:t xml:space="preserve"> – </w:t>
            </w:r>
            <w:r w:rsidRPr="00826AAD">
              <w:rPr>
                <w:rFonts w:cstheme="minorHAnsi"/>
                <w:sz w:val="18"/>
                <w:szCs w:val="18"/>
              </w:rPr>
              <w:t xml:space="preserve">April </w:t>
            </w:r>
            <w:r w:rsidRPr="00826AAD">
              <w:rPr>
                <w:rFonts w:cstheme="minorHAnsi"/>
                <w:sz w:val="18"/>
                <w:szCs w:val="18"/>
                <w:lang w:val="ka-GE"/>
              </w:rPr>
              <w:t>2021</w:t>
            </w:r>
          </w:p>
        </w:tc>
        <w:tc>
          <w:tcPr>
            <w:tcW w:w="8888" w:type="dxa"/>
          </w:tcPr>
          <w:p w14:paraId="78FC42D9" w14:textId="77777777" w:rsidR="00292D29" w:rsidRPr="00431349" w:rsidRDefault="00292D29" w:rsidP="00586D6A">
            <w:pPr>
              <w:rPr>
                <w:rFonts w:cstheme="minorHAnsi"/>
                <w:sz w:val="18"/>
                <w:szCs w:val="18"/>
              </w:rPr>
            </w:pPr>
            <w:r w:rsidRPr="00431349">
              <w:rPr>
                <w:rFonts w:cstheme="minorHAnsi"/>
                <w:sz w:val="18"/>
                <w:szCs w:val="18"/>
              </w:rPr>
              <w:t>Workshop for facilitating amendment of existing veterinary border control procedures according to new official control Regulation by sharing relevant EU experience.</w:t>
            </w:r>
          </w:p>
          <w:p w14:paraId="009D7393" w14:textId="77777777" w:rsidR="00292D29" w:rsidRPr="00431349" w:rsidRDefault="00292D29" w:rsidP="00586D6A">
            <w:pPr>
              <w:rPr>
                <w:rFonts w:cstheme="minorHAnsi"/>
                <w:i/>
                <w:sz w:val="18"/>
                <w:szCs w:val="18"/>
              </w:rPr>
            </w:pPr>
            <w:r w:rsidRPr="00431349">
              <w:rPr>
                <w:rFonts w:cstheme="minorHAnsi"/>
                <w:i/>
                <w:sz w:val="18"/>
                <w:szCs w:val="18"/>
              </w:rPr>
              <w:t>Note: Proposed as recommendation in report of Latvian experts from November 2019.</w:t>
            </w:r>
          </w:p>
          <w:p w14:paraId="336781E1" w14:textId="77777777" w:rsidR="00292D29" w:rsidRPr="00431349" w:rsidRDefault="00292D29" w:rsidP="00586D6A">
            <w:pPr>
              <w:rPr>
                <w:rFonts w:cstheme="minorHAnsi"/>
                <w:i/>
                <w:sz w:val="18"/>
                <w:szCs w:val="18"/>
              </w:rPr>
            </w:pPr>
          </w:p>
          <w:p w14:paraId="24EE666A" w14:textId="77777777" w:rsidR="00292D29" w:rsidRPr="00431349" w:rsidRDefault="00292D29" w:rsidP="00586D6A">
            <w:pPr>
              <w:rPr>
                <w:rFonts w:cstheme="minorHAnsi"/>
                <w:i/>
                <w:color w:val="FF0000"/>
                <w:sz w:val="18"/>
                <w:szCs w:val="18"/>
              </w:rPr>
            </w:pPr>
            <w:r w:rsidRPr="00431349">
              <w:rPr>
                <w:rFonts w:cstheme="minorHAnsi"/>
                <w:i/>
                <w:color w:val="FF0000"/>
                <w:sz w:val="18"/>
                <w:szCs w:val="18"/>
              </w:rPr>
              <w:t xml:space="preserve">Note: Could be </w:t>
            </w:r>
            <w:proofErr w:type="spellStart"/>
            <w:r w:rsidRPr="00431349">
              <w:rPr>
                <w:rFonts w:cstheme="minorHAnsi"/>
                <w:i/>
                <w:color w:val="FF0000"/>
                <w:sz w:val="18"/>
                <w:szCs w:val="18"/>
              </w:rPr>
              <w:t>combin</w:t>
            </w:r>
            <w:proofErr w:type="spellEnd"/>
          </w:p>
          <w:p w14:paraId="68DBAF09" w14:textId="77777777" w:rsidR="00292D29" w:rsidRPr="00431349" w:rsidRDefault="00292D29" w:rsidP="00586D6A">
            <w:pPr>
              <w:rPr>
                <w:rFonts w:cstheme="minorHAnsi"/>
                <w:sz w:val="18"/>
                <w:szCs w:val="18"/>
                <w:lang w:val="ka-GE"/>
              </w:rPr>
            </w:pPr>
            <w:r w:rsidRPr="00431349">
              <w:rPr>
                <w:rFonts w:cstheme="minorHAnsi"/>
                <w:i/>
                <w:color w:val="FF0000"/>
                <w:sz w:val="18"/>
                <w:szCs w:val="18"/>
              </w:rPr>
              <w:t>ed with Activity No. 8 (phytosanitary aspects of minimum requirements)</w:t>
            </w:r>
          </w:p>
        </w:tc>
      </w:tr>
      <w:tr w:rsidR="00292D29" w:rsidRPr="00431349" w14:paraId="732B8088" w14:textId="77777777" w:rsidTr="00586D6A">
        <w:trPr>
          <w:trHeight w:val="573"/>
        </w:trPr>
        <w:tc>
          <w:tcPr>
            <w:tcW w:w="353" w:type="dxa"/>
          </w:tcPr>
          <w:p w14:paraId="20EF5C92" w14:textId="77777777" w:rsidR="00292D29" w:rsidRPr="00431349" w:rsidRDefault="00292D29" w:rsidP="00586D6A">
            <w:pPr>
              <w:numPr>
                <w:ilvl w:val="0"/>
                <w:numId w:val="3"/>
              </w:numPr>
              <w:contextualSpacing/>
              <w:rPr>
                <w:rFonts w:cstheme="minorHAnsi"/>
                <w:sz w:val="18"/>
                <w:szCs w:val="18"/>
                <w:lang w:val="ka-GE"/>
              </w:rPr>
            </w:pPr>
          </w:p>
        </w:tc>
        <w:tc>
          <w:tcPr>
            <w:tcW w:w="3304" w:type="dxa"/>
          </w:tcPr>
          <w:p w14:paraId="19BF157F" w14:textId="77777777" w:rsidR="00292D29" w:rsidRPr="00431349" w:rsidRDefault="00292D29" w:rsidP="00586D6A">
            <w:pPr>
              <w:rPr>
                <w:rFonts w:cstheme="minorHAnsi"/>
                <w:sz w:val="18"/>
                <w:szCs w:val="18"/>
              </w:rPr>
            </w:pPr>
            <w:r w:rsidRPr="00431349">
              <w:rPr>
                <w:rFonts w:cstheme="minorHAnsi"/>
                <w:sz w:val="18"/>
                <w:szCs w:val="18"/>
              </w:rPr>
              <w:t xml:space="preserve">Workshop to Elaborate minimum requirements for Border Control Post </w:t>
            </w:r>
            <w:proofErr w:type="gramStart"/>
            <w:r w:rsidRPr="00431349">
              <w:rPr>
                <w:rFonts w:cstheme="minorHAnsi"/>
                <w:sz w:val="18"/>
                <w:szCs w:val="18"/>
              </w:rPr>
              <w:t>taking into account</w:t>
            </w:r>
            <w:proofErr w:type="gramEnd"/>
            <w:r w:rsidRPr="00431349">
              <w:rPr>
                <w:rFonts w:cstheme="minorHAnsi"/>
                <w:sz w:val="18"/>
                <w:szCs w:val="18"/>
              </w:rPr>
              <w:t xml:space="preserve"> the new Official Control Regulation (no. 2017/625) rules.</w:t>
            </w:r>
          </w:p>
        </w:tc>
        <w:tc>
          <w:tcPr>
            <w:tcW w:w="1476" w:type="dxa"/>
          </w:tcPr>
          <w:p w14:paraId="52A8756A" w14:textId="77777777" w:rsidR="00292D29" w:rsidRPr="00431349" w:rsidRDefault="00292D29" w:rsidP="00586D6A">
            <w:pPr>
              <w:rPr>
                <w:rFonts w:cstheme="minorHAnsi"/>
                <w:sz w:val="18"/>
                <w:szCs w:val="18"/>
                <w:lang w:val="ka-GE"/>
              </w:rPr>
            </w:pPr>
            <w:r w:rsidRPr="00826AAD">
              <w:rPr>
                <w:rFonts w:cstheme="minorHAnsi"/>
                <w:sz w:val="18"/>
                <w:szCs w:val="18"/>
              </w:rPr>
              <w:t>September</w:t>
            </w:r>
            <w:r w:rsidRPr="00826AAD">
              <w:rPr>
                <w:rFonts w:cstheme="minorHAnsi"/>
                <w:sz w:val="18"/>
                <w:szCs w:val="18"/>
                <w:lang w:val="ka-GE"/>
              </w:rPr>
              <w:t xml:space="preserve"> </w:t>
            </w:r>
            <w:r w:rsidRPr="00826AAD">
              <w:rPr>
                <w:rFonts w:cstheme="minorHAnsi"/>
                <w:sz w:val="18"/>
                <w:szCs w:val="18"/>
              </w:rPr>
              <w:t>2020</w:t>
            </w:r>
            <w:r w:rsidRPr="00826AAD">
              <w:rPr>
                <w:rFonts w:cstheme="minorHAnsi"/>
                <w:sz w:val="18"/>
                <w:szCs w:val="18"/>
                <w:lang w:val="ka-GE"/>
              </w:rPr>
              <w:t xml:space="preserve"> – </w:t>
            </w:r>
            <w:r w:rsidRPr="00826AAD">
              <w:rPr>
                <w:rFonts w:cstheme="minorHAnsi"/>
                <w:sz w:val="18"/>
                <w:szCs w:val="18"/>
              </w:rPr>
              <w:t xml:space="preserve">April </w:t>
            </w:r>
            <w:r w:rsidRPr="00826AAD">
              <w:rPr>
                <w:rFonts w:cstheme="minorHAnsi"/>
                <w:sz w:val="18"/>
                <w:szCs w:val="18"/>
                <w:lang w:val="ka-GE"/>
              </w:rPr>
              <w:t>2021</w:t>
            </w:r>
          </w:p>
        </w:tc>
        <w:tc>
          <w:tcPr>
            <w:tcW w:w="8888" w:type="dxa"/>
          </w:tcPr>
          <w:p w14:paraId="23AD39E7" w14:textId="77777777" w:rsidR="00292D29" w:rsidRPr="00431349" w:rsidRDefault="00292D29" w:rsidP="00586D6A">
            <w:pPr>
              <w:rPr>
                <w:rFonts w:cstheme="minorHAnsi"/>
                <w:sz w:val="18"/>
                <w:szCs w:val="18"/>
              </w:rPr>
            </w:pPr>
            <w:r w:rsidRPr="00431349">
              <w:rPr>
                <w:rFonts w:cstheme="minorHAnsi"/>
                <w:sz w:val="18"/>
                <w:szCs w:val="18"/>
              </w:rPr>
              <w:t xml:space="preserve">Workshop is needed to elaborate a document on requirements for Border Control Post, </w:t>
            </w:r>
            <w:proofErr w:type="gramStart"/>
            <w:r w:rsidRPr="00431349">
              <w:rPr>
                <w:rFonts w:cstheme="minorHAnsi"/>
                <w:sz w:val="18"/>
                <w:szCs w:val="18"/>
              </w:rPr>
              <w:t>taking into account</w:t>
            </w:r>
            <w:proofErr w:type="gramEnd"/>
            <w:r w:rsidRPr="00431349">
              <w:rPr>
                <w:rFonts w:cstheme="minorHAnsi"/>
                <w:sz w:val="18"/>
                <w:szCs w:val="18"/>
              </w:rPr>
              <w:t xml:space="preserve"> the new Official Control Regulation (no. 2017/625) rules. Georgia Revenue Service thus strives to upgrade the existing Border Control Posts according to the EU-standards. GRS plans to elaborate a legal act on minimal requirements of Border Control Posts. </w:t>
            </w:r>
          </w:p>
          <w:p w14:paraId="479316F4" w14:textId="77777777" w:rsidR="00292D29" w:rsidRPr="00431349" w:rsidRDefault="00292D29" w:rsidP="00586D6A">
            <w:pPr>
              <w:rPr>
                <w:rFonts w:cstheme="minorHAnsi"/>
                <w:sz w:val="18"/>
                <w:szCs w:val="18"/>
              </w:rPr>
            </w:pPr>
          </w:p>
          <w:p w14:paraId="70E465C8" w14:textId="77777777" w:rsidR="00292D29" w:rsidRPr="00431349" w:rsidRDefault="00292D29" w:rsidP="00586D6A">
            <w:pPr>
              <w:rPr>
                <w:rFonts w:cstheme="minorHAnsi"/>
                <w:i/>
                <w:color w:val="FF0000"/>
                <w:sz w:val="18"/>
                <w:szCs w:val="18"/>
              </w:rPr>
            </w:pPr>
            <w:r w:rsidRPr="00431349">
              <w:rPr>
                <w:rFonts w:cstheme="minorHAnsi"/>
                <w:i/>
                <w:color w:val="FF0000"/>
                <w:sz w:val="18"/>
                <w:szCs w:val="18"/>
              </w:rPr>
              <w:t>Note: If this topic is included into Activities 6 and 7, Activity 8 will be disregarded.</w:t>
            </w:r>
          </w:p>
          <w:p w14:paraId="05218D04" w14:textId="77777777" w:rsidR="00292D29" w:rsidRPr="00431349" w:rsidRDefault="00292D29" w:rsidP="00586D6A">
            <w:pPr>
              <w:rPr>
                <w:rFonts w:cstheme="minorHAnsi"/>
                <w:sz w:val="18"/>
                <w:szCs w:val="18"/>
              </w:rPr>
            </w:pPr>
          </w:p>
        </w:tc>
      </w:tr>
    </w:tbl>
    <w:p w14:paraId="14904C10" w14:textId="60D7E9D7" w:rsidR="00292D29" w:rsidRDefault="00292D29" w:rsidP="00F352D4">
      <w:pPr>
        <w:rPr>
          <w:rFonts w:cstheme="minorHAnsi"/>
          <w:sz w:val="18"/>
          <w:szCs w:val="18"/>
        </w:rPr>
      </w:pPr>
    </w:p>
    <w:p w14:paraId="5632C747" w14:textId="7ED447B8" w:rsidR="00292D29" w:rsidRDefault="00292D29" w:rsidP="00F352D4">
      <w:pPr>
        <w:rPr>
          <w:rFonts w:cstheme="minorHAnsi"/>
          <w:sz w:val="18"/>
          <w:szCs w:val="18"/>
        </w:rPr>
      </w:pPr>
    </w:p>
    <w:p w14:paraId="30D05CEC" w14:textId="5DBE135E" w:rsidR="00292D29" w:rsidRDefault="00292D29" w:rsidP="00F352D4">
      <w:pPr>
        <w:rPr>
          <w:rFonts w:cstheme="minorHAnsi"/>
          <w:sz w:val="18"/>
          <w:szCs w:val="18"/>
        </w:rPr>
      </w:pPr>
    </w:p>
    <w:p w14:paraId="5FF9DFFA" w14:textId="2B608661" w:rsidR="00292D29" w:rsidRDefault="00292D29" w:rsidP="00F352D4">
      <w:pPr>
        <w:rPr>
          <w:rFonts w:cstheme="minorHAnsi"/>
          <w:sz w:val="18"/>
          <w:szCs w:val="18"/>
        </w:rPr>
      </w:pPr>
    </w:p>
    <w:p w14:paraId="310FFFEC" w14:textId="49FE4F00" w:rsidR="00292D29" w:rsidRDefault="00292D29" w:rsidP="00F352D4">
      <w:pPr>
        <w:rPr>
          <w:rFonts w:cstheme="minorHAnsi"/>
          <w:sz w:val="18"/>
          <w:szCs w:val="18"/>
        </w:rPr>
      </w:pPr>
    </w:p>
    <w:p w14:paraId="3C299ADA" w14:textId="272E0B14" w:rsidR="00292D29" w:rsidRDefault="00292D29" w:rsidP="00F352D4">
      <w:pPr>
        <w:rPr>
          <w:rFonts w:cstheme="minorHAnsi"/>
          <w:sz w:val="18"/>
          <w:szCs w:val="18"/>
        </w:rPr>
      </w:pPr>
    </w:p>
    <w:p w14:paraId="2C6BC8D2" w14:textId="56E8D772" w:rsidR="00292D29" w:rsidRDefault="00292D29" w:rsidP="00F352D4">
      <w:pPr>
        <w:rPr>
          <w:rFonts w:cstheme="minorHAnsi"/>
          <w:sz w:val="18"/>
          <w:szCs w:val="18"/>
        </w:rPr>
      </w:pPr>
    </w:p>
    <w:p w14:paraId="3D9E0FA6" w14:textId="171B9C1E" w:rsidR="00292D29" w:rsidRDefault="00292D29" w:rsidP="00F352D4">
      <w:pPr>
        <w:rPr>
          <w:rFonts w:cstheme="minorHAnsi"/>
          <w:sz w:val="18"/>
          <w:szCs w:val="18"/>
        </w:rPr>
      </w:pPr>
    </w:p>
    <w:p w14:paraId="1940DA1B" w14:textId="5B653BA0" w:rsidR="00292D29" w:rsidRDefault="00292D29" w:rsidP="00F352D4">
      <w:pPr>
        <w:rPr>
          <w:rFonts w:cstheme="minorHAnsi"/>
          <w:sz w:val="18"/>
          <w:szCs w:val="18"/>
        </w:rPr>
      </w:pPr>
    </w:p>
    <w:p w14:paraId="55AD4AFB" w14:textId="77777777" w:rsidR="00292D29" w:rsidRDefault="00292D29" w:rsidP="00F352D4">
      <w:pPr>
        <w:rPr>
          <w:rFonts w:cstheme="minorHAnsi"/>
          <w:sz w:val="18"/>
          <w:szCs w:val="18"/>
        </w:rPr>
      </w:pPr>
    </w:p>
    <w:p w14:paraId="285F6DE7" w14:textId="099C279A" w:rsidR="00292D29" w:rsidRDefault="00292D29" w:rsidP="00F352D4">
      <w:pPr>
        <w:rPr>
          <w:rFonts w:cstheme="minorHAnsi"/>
          <w:sz w:val="18"/>
          <w:szCs w:val="18"/>
        </w:rPr>
      </w:pPr>
    </w:p>
    <w:p w14:paraId="46A803F4" w14:textId="627595BD" w:rsidR="00292D29" w:rsidRDefault="00292D29" w:rsidP="00F352D4">
      <w:pPr>
        <w:rPr>
          <w:rFonts w:cstheme="minorHAnsi"/>
          <w:sz w:val="18"/>
          <w:szCs w:val="18"/>
        </w:rPr>
      </w:pPr>
    </w:p>
    <w:p w14:paraId="53FE4C4D" w14:textId="1404551E" w:rsidR="00292D29" w:rsidRDefault="00292D29" w:rsidP="00F352D4">
      <w:pPr>
        <w:rPr>
          <w:rFonts w:cstheme="minorHAnsi"/>
          <w:sz w:val="18"/>
          <w:szCs w:val="18"/>
        </w:rPr>
      </w:pPr>
    </w:p>
    <w:p w14:paraId="05422882" w14:textId="4911FA43" w:rsidR="00292D29" w:rsidRDefault="00292D29" w:rsidP="00F352D4">
      <w:pPr>
        <w:rPr>
          <w:rFonts w:cstheme="minorHAnsi"/>
          <w:sz w:val="18"/>
          <w:szCs w:val="18"/>
        </w:rPr>
      </w:pPr>
    </w:p>
    <w:p w14:paraId="51BAC4F1" w14:textId="77777777" w:rsidR="00292D29" w:rsidRPr="00C90293" w:rsidRDefault="00292D29" w:rsidP="00F352D4">
      <w:pPr>
        <w:rPr>
          <w:rFonts w:cstheme="minorHAnsi"/>
          <w:sz w:val="18"/>
          <w:szCs w:val="18"/>
        </w:rPr>
      </w:pPr>
    </w:p>
    <w:tbl>
      <w:tblPr>
        <w:tblStyle w:val="TableGrid"/>
        <w:tblW w:w="13680" w:type="dxa"/>
        <w:tblInd w:w="-905" w:type="dxa"/>
        <w:tblLayout w:type="fixed"/>
        <w:tblLook w:val="04A0" w:firstRow="1" w:lastRow="0" w:firstColumn="1" w:lastColumn="0" w:noHBand="0" w:noVBand="1"/>
      </w:tblPr>
      <w:tblGrid>
        <w:gridCol w:w="303"/>
        <w:gridCol w:w="2847"/>
        <w:gridCol w:w="1530"/>
        <w:gridCol w:w="9000"/>
      </w:tblGrid>
      <w:tr w:rsidR="00E05F73" w:rsidRPr="00C90293" w14:paraId="7FBC3441" w14:textId="77777777" w:rsidTr="006874AA">
        <w:trPr>
          <w:trHeight w:val="299"/>
        </w:trPr>
        <w:tc>
          <w:tcPr>
            <w:tcW w:w="13680" w:type="dxa"/>
            <w:gridSpan w:val="4"/>
            <w:shd w:val="clear" w:color="auto" w:fill="FFFF00"/>
          </w:tcPr>
          <w:p w14:paraId="0676342C" w14:textId="559862CF" w:rsidR="00E05F73" w:rsidRPr="00C90293" w:rsidRDefault="005B54C3" w:rsidP="006874AA">
            <w:pPr>
              <w:rPr>
                <w:rFonts w:cstheme="minorHAnsi"/>
                <w:sz w:val="18"/>
                <w:szCs w:val="18"/>
              </w:rPr>
            </w:pPr>
            <w:r w:rsidRPr="00C90293">
              <w:rPr>
                <w:rFonts w:cstheme="minorHAnsi"/>
                <w:b/>
                <w:sz w:val="18"/>
                <w:szCs w:val="18"/>
              </w:rPr>
              <w:br w:type="page"/>
            </w:r>
            <w:r w:rsidR="00E05F73">
              <w:rPr>
                <w:rFonts w:cstheme="minorHAnsi"/>
                <w:sz w:val="18"/>
                <w:szCs w:val="18"/>
              </w:rPr>
              <w:t xml:space="preserve">Joint Request of </w:t>
            </w:r>
            <w:r w:rsidR="00E05F73" w:rsidRPr="0075498F">
              <w:rPr>
                <w:rFonts w:cstheme="minorHAnsi"/>
                <w:b/>
                <w:sz w:val="18"/>
                <w:szCs w:val="18"/>
              </w:rPr>
              <w:t>MINISTRY OF ENVIRONEMTN PROTECTION AND AGRICULTURE</w:t>
            </w:r>
            <w:r w:rsidR="00E05F73">
              <w:rPr>
                <w:rFonts w:cstheme="minorHAnsi"/>
                <w:sz w:val="18"/>
                <w:szCs w:val="18"/>
              </w:rPr>
              <w:t xml:space="preserve"> and </w:t>
            </w:r>
            <w:r w:rsidR="00E05F73" w:rsidRPr="0075498F">
              <w:rPr>
                <w:rFonts w:cstheme="minorHAnsi"/>
                <w:b/>
                <w:sz w:val="18"/>
                <w:szCs w:val="18"/>
              </w:rPr>
              <w:t>NATIONAL FOOD AGENCY</w:t>
            </w:r>
          </w:p>
        </w:tc>
      </w:tr>
      <w:tr w:rsidR="00E05F73" w:rsidRPr="00C90293" w14:paraId="635E1458" w14:textId="77777777" w:rsidTr="006874AA">
        <w:trPr>
          <w:trHeight w:val="299"/>
        </w:trPr>
        <w:tc>
          <w:tcPr>
            <w:tcW w:w="303" w:type="dxa"/>
            <w:shd w:val="clear" w:color="auto" w:fill="B4C6E7" w:themeFill="accent5" w:themeFillTint="66"/>
          </w:tcPr>
          <w:p w14:paraId="722D8B42" w14:textId="77777777" w:rsidR="00E05F73" w:rsidRPr="00C90293" w:rsidRDefault="00E05F73" w:rsidP="006874AA">
            <w:pPr>
              <w:jc w:val="center"/>
              <w:rPr>
                <w:rFonts w:cstheme="minorHAnsi"/>
                <w:sz w:val="18"/>
                <w:szCs w:val="18"/>
              </w:rPr>
            </w:pPr>
          </w:p>
        </w:tc>
        <w:tc>
          <w:tcPr>
            <w:tcW w:w="2847" w:type="dxa"/>
            <w:shd w:val="clear" w:color="auto" w:fill="B4C6E7" w:themeFill="accent5" w:themeFillTint="66"/>
          </w:tcPr>
          <w:p w14:paraId="584467AC" w14:textId="77777777" w:rsidR="00E05F73" w:rsidRPr="00C90293" w:rsidRDefault="00E05F73" w:rsidP="006874AA">
            <w:pPr>
              <w:jc w:val="center"/>
              <w:rPr>
                <w:rFonts w:cstheme="minorHAnsi"/>
                <w:sz w:val="18"/>
                <w:szCs w:val="18"/>
              </w:rPr>
            </w:pPr>
            <w:r>
              <w:rPr>
                <w:rFonts w:cstheme="minorHAnsi"/>
                <w:sz w:val="18"/>
                <w:szCs w:val="18"/>
              </w:rPr>
              <w:t>Activity</w:t>
            </w:r>
          </w:p>
        </w:tc>
        <w:tc>
          <w:tcPr>
            <w:tcW w:w="1530" w:type="dxa"/>
            <w:shd w:val="clear" w:color="auto" w:fill="B4C6E7" w:themeFill="accent5" w:themeFillTint="66"/>
          </w:tcPr>
          <w:p w14:paraId="534A25B3" w14:textId="77777777" w:rsidR="00E05F73" w:rsidRPr="00C90293" w:rsidRDefault="00E05F73" w:rsidP="006874AA">
            <w:pPr>
              <w:jc w:val="center"/>
              <w:rPr>
                <w:rFonts w:cstheme="minorHAnsi"/>
                <w:sz w:val="18"/>
                <w:szCs w:val="18"/>
              </w:rPr>
            </w:pPr>
            <w:r w:rsidRPr="00C90293">
              <w:rPr>
                <w:rFonts w:cstheme="minorHAnsi"/>
                <w:sz w:val="18"/>
                <w:szCs w:val="18"/>
              </w:rPr>
              <w:t>Dates of implementation</w:t>
            </w:r>
          </w:p>
          <w:p w14:paraId="5E95134D" w14:textId="77777777" w:rsidR="00E05F73" w:rsidRPr="00C90293" w:rsidRDefault="00E05F73" w:rsidP="006874AA">
            <w:pPr>
              <w:jc w:val="center"/>
              <w:rPr>
                <w:rFonts w:cstheme="minorHAnsi"/>
                <w:sz w:val="18"/>
                <w:szCs w:val="18"/>
              </w:rPr>
            </w:pPr>
            <w:r w:rsidRPr="00C90293">
              <w:rPr>
                <w:rFonts w:cstheme="minorHAnsi"/>
                <w:sz w:val="18"/>
                <w:szCs w:val="18"/>
              </w:rPr>
              <w:t xml:space="preserve">(2020) </w:t>
            </w:r>
          </w:p>
        </w:tc>
        <w:tc>
          <w:tcPr>
            <w:tcW w:w="9000" w:type="dxa"/>
            <w:shd w:val="clear" w:color="auto" w:fill="B4C6E7" w:themeFill="accent5" w:themeFillTint="66"/>
          </w:tcPr>
          <w:p w14:paraId="1812518F" w14:textId="77777777" w:rsidR="00E05F73" w:rsidRPr="00C90293" w:rsidRDefault="00E05F73" w:rsidP="006874AA">
            <w:pPr>
              <w:jc w:val="center"/>
              <w:rPr>
                <w:rFonts w:cstheme="minorHAnsi"/>
                <w:sz w:val="18"/>
                <w:szCs w:val="18"/>
              </w:rPr>
            </w:pPr>
            <w:r w:rsidRPr="00C90293">
              <w:rPr>
                <w:rFonts w:cstheme="minorHAnsi"/>
                <w:sz w:val="18"/>
                <w:szCs w:val="18"/>
              </w:rPr>
              <w:t>Comment/Justification/</w:t>
            </w:r>
          </w:p>
          <w:p w14:paraId="11CF9399" w14:textId="77777777" w:rsidR="00E05F73" w:rsidRPr="00C90293" w:rsidRDefault="00E05F73" w:rsidP="006874AA">
            <w:pPr>
              <w:jc w:val="center"/>
              <w:rPr>
                <w:rFonts w:cstheme="minorHAnsi"/>
                <w:sz w:val="18"/>
                <w:szCs w:val="18"/>
              </w:rPr>
            </w:pPr>
            <w:r w:rsidRPr="00C90293">
              <w:rPr>
                <w:rFonts w:cstheme="minorHAnsi"/>
                <w:sz w:val="18"/>
                <w:szCs w:val="18"/>
              </w:rPr>
              <w:t>Baseline</w:t>
            </w:r>
          </w:p>
        </w:tc>
      </w:tr>
      <w:tr w:rsidR="00E05F73" w:rsidRPr="00C90293" w14:paraId="14094B8D" w14:textId="77777777" w:rsidTr="000F224D">
        <w:trPr>
          <w:trHeight w:val="573"/>
        </w:trPr>
        <w:tc>
          <w:tcPr>
            <w:tcW w:w="303" w:type="dxa"/>
          </w:tcPr>
          <w:p w14:paraId="2B3F63EA" w14:textId="77777777" w:rsidR="00E05F73" w:rsidRPr="00C90293" w:rsidRDefault="00E05F73" w:rsidP="00E05F73">
            <w:pPr>
              <w:pStyle w:val="ListParagraph"/>
              <w:numPr>
                <w:ilvl w:val="0"/>
                <w:numId w:val="1"/>
              </w:numPr>
              <w:jc w:val="center"/>
              <w:rPr>
                <w:rFonts w:cstheme="minorHAnsi"/>
                <w:sz w:val="18"/>
                <w:szCs w:val="18"/>
                <w:lang w:val="ka-GE"/>
              </w:rPr>
            </w:pPr>
          </w:p>
        </w:tc>
        <w:tc>
          <w:tcPr>
            <w:tcW w:w="2847" w:type="dxa"/>
          </w:tcPr>
          <w:p w14:paraId="39E8C9B8" w14:textId="77777777" w:rsidR="00E05F73" w:rsidRPr="00C90293" w:rsidRDefault="00E05F73" w:rsidP="00E05F73">
            <w:pPr>
              <w:jc w:val="both"/>
              <w:rPr>
                <w:rFonts w:cstheme="minorHAnsi"/>
                <w:sz w:val="18"/>
                <w:szCs w:val="18"/>
              </w:rPr>
            </w:pPr>
            <w:r>
              <w:rPr>
                <w:rFonts w:cstheme="minorHAnsi"/>
                <w:sz w:val="18"/>
                <w:szCs w:val="18"/>
              </w:rPr>
              <w:t>Training related to implementation of</w:t>
            </w:r>
            <w:r w:rsidRPr="00C90293">
              <w:rPr>
                <w:rFonts w:cstheme="minorHAnsi"/>
                <w:sz w:val="18"/>
                <w:szCs w:val="18"/>
              </w:rPr>
              <w:t xml:space="preserve"> Decree №636 of the Government of Georgia, of December 30th, 2016, on the Approval of Technical Regulation on Detection and Confirmation of Viral Hemorrhagic Septicemia (VHS) and Infectious Hematopoietic Necrosis (IHN);</w:t>
            </w:r>
          </w:p>
        </w:tc>
        <w:tc>
          <w:tcPr>
            <w:tcW w:w="1530" w:type="dxa"/>
            <w:shd w:val="clear" w:color="auto" w:fill="FFFFFF" w:themeFill="background1"/>
          </w:tcPr>
          <w:p w14:paraId="328F7D26" w14:textId="77777777" w:rsidR="00E05F73" w:rsidRPr="003A62A9" w:rsidRDefault="00E05F73" w:rsidP="00E05F73">
            <w:pPr>
              <w:rPr>
                <w:rFonts w:cstheme="minorHAnsi"/>
                <w:sz w:val="18"/>
                <w:szCs w:val="18"/>
              </w:rPr>
            </w:pPr>
            <w:r w:rsidRPr="003A62A9">
              <w:rPr>
                <w:rFonts w:cstheme="minorHAnsi"/>
                <w:sz w:val="18"/>
                <w:szCs w:val="18"/>
              </w:rPr>
              <w:t>September</w:t>
            </w:r>
            <w:r w:rsidRPr="003A62A9">
              <w:rPr>
                <w:rFonts w:cstheme="minorHAnsi"/>
                <w:sz w:val="18"/>
                <w:szCs w:val="18"/>
                <w:lang w:val="ka-GE"/>
              </w:rPr>
              <w:t xml:space="preserve"> </w:t>
            </w:r>
            <w:r w:rsidRPr="003A62A9">
              <w:rPr>
                <w:rFonts w:cstheme="minorHAnsi"/>
                <w:sz w:val="18"/>
                <w:szCs w:val="18"/>
              </w:rPr>
              <w:t>2020</w:t>
            </w:r>
            <w:r w:rsidRPr="003A62A9">
              <w:rPr>
                <w:rFonts w:cstheme="minorHAnsi"/>
                <w:sz w:val="18"/>
                <w:szCs w:val="18"/>
                <w:lang w:val="ka-GE"/>
              </w:rPr>
              <w:t xml:space="preserve"> – </w:t>
            </w:r>
            <w:r w:rsidRPr="003A62A9">
              <w:rPr>
                <w:rFonts w:cstheme="minorHAnsi"/>
                <w:sz w:val="18"/>
                <w:szCs w:val="18"/>
              </w:rPr>
              <w:t xml:space="preserve">April </w:t>
            </w:r>
            <w:r w:rsidRPr="003A62A9">
              <w:rPr>
                <w:rFonts w:cstheme="minorHAnsi"/>
                <w:sz w:val="18"/>
                <w:szCs w:val="18"/>
                <w:lang w:val="ka-GE"/>
              </w:rPr>
              <w:t>2021</w:t>
            </w:r>
          </w:p>
        </w:tc>
        <w:tc>
          <w:tcPr>
            <w:tcW w:w="9000" w:type="dxa"/>
          </w:tcPr>
          <w:p w14:paraId="45C0E476" w14:textId="77777777" w:rsidR="00E05F73" w:rsidRPr="00C90293" w:rsidRDefault="00E05F73" w:rsidP="00E05F73">
            <w:pPr>
              <w:jc w:val="both"/>
              <w:rPr>
                <w:rFonts w:cstheme="minorHAnsi"/>
                <w:sz w:val="18"/>
                <w:szCs w:val="18"/>
                <w:lang w:val="ka-GE"/>
              </w:rPr>
            </w:pPr>
            <w:proofErr w:type="spellStart"/>
            <w:r w:rsidRPr="00C90293">
              <w:rPr>
                <w:rFonts w:cstheme="minorHAnsi"/>
                <w:sz w:val="18"/>
                <w:szCs w:val="18"/>
                <w:lang w:val="ka-GE"/>
              </w:rPr>
              <w:t>Training</w:t>
            </w:r>
            <w:proofErr w:type="spellEnd"/>
            <w:r>
              <w:rPr>
                <w:rFonts w:cstheme="minorHAnsi"/>
                <w:sz w:val="18"/>
                <w:szCs w:val="18"/>
              </w:rPr>
              <w:t xml:space="preserve"> concerns all aspects of implementation and enforcement of the regulation under Activity 3, e.g. </w:t>
            </w:r>
            <w:proofErr w:type="spellStart"/>
            <w:r w:rsidRPr="00C90293">
              <w:rPr>
                <w:rFonts w:cstheme="minorHAnsi"/>
                <w:sz w:val="18"/>
                <w:szCs w:val="18"/>
                <w:lang w:val="ka-GE"/>
              </w:rPr>
              <w:t>sampling</w:t>
            </w:r>
            <w:proofErr w:type="spellEnd"/>
            <w:r w:rsidRPr="00C90293">
              <w:rPr>
                <w:rFonts w:cstheme="minorHAnsi"/>
                <w:sz w:val="18"/>
                <w:szCs w:val="18"/>
                <w:lang w:val="ka-GE"/>
              </w:rPr>
              <w:t xml:space="preserve"> </w:t>
            </w:r>
            <w:proofErr w:type="spellStart"/>
            <w:r w:rsidRPr="00C90293">
              <w:rPr>
                <w:rFonts w:cstheme="minorHAnsi"/>
                <w:sz w:val="18"/>
                <w:szCs w:val="18"/>
                <w:lang w:val="ka-GE"/>
              </w:rPr>
              <w:t>planning</w:t>
            </w:r>
            <w:proofErr w:type="spellEnd"/>
            <w:r w:rsidRPr="00C90293">
              <w:rPr>
                <w:rFonts w:cstheme="minorHAnsi"/>
                <w:sz w:val="18"/>
                <w:szCs w:val="18"/>
                <w:lang w:val="ka-GE"/>
              </w:rPr>
              <w:t xml:space="preserve"> </w:t>
            </w:r>
            <w:proofErr w:type="spellStart"/>
            <w:r w:rsidRPr="00C90293">
              <w:rPr>
                <w:rFonts w:cstheme="minorHAnsi"/>
                <w:sz w:val="18"/>
                <w:szCs w:val="18"/>
                <w:lang w:val="ka-GE"/>
              </w:rPr>
              <w:t>and</w:t>
            </w:r>
            <w:proofErr w:type="spellEnd"/>
            <w:r w:rsidRPr="00C90293">
              <w:rPr>
                <w:rFonts w:cstheme="minorHAnsi"/>
                <w:sz w:val="18"/>
                <w:szCs w:val="18"/>
                <w:lang w:val="ka-GE"/>
              </w:rPr>
              <w:t xml:space="preserve"> </w:t>
            </w:r>
            <w:proofErr w:type="spellStart"/>
            <w:r w:rsidRPr="00C90293">
              <w:rPr>
                <w:rFonts w:cstheme="minorHAnsi"/>
                <w:sz w:val="18"/>
                <w:szCs w:val="18"/>
                <w:lang w:val="ka-GE"/>
              </w:rPr>
              <w:t>methodology</w:t>
            </w:r>
            <w:proofErr w:type="spellEnd"/>
            <w:r w:rsidRPr="00C90293">
              <w:rPr>
                <w:rFonts w:cstheme="minorHAnsi"/>
                <w:sz w:val="18"/>
                <w:szCs w:val="18"/>
                <w:lang w:val="ka-GE"/>
              </w:rPr>
              <w:t xml:space="preserve">; </w:t>
            </w:r>
            <w:proofErr w:type="spellStart"/>
            <w:r w:rsidRPr="00C90293">
              <w:rPr>
                <w:rFonts w:cstheme="minorHAnsi"/>
                <w:sz w:val="18"/>
                <w:szCs w:val="18"/>
                <w:lang w:val="ka-GE"/>
              </w:rPr>
              <w:t>principles</w:t>
            </w:r>
            <w:proofErr w:type="spellEnd"/>
            <w:r w:rsidRPr="00C90293">
              <w:rPr>
                <w:rFonts w:cstheme="minorHAnsi"/>
                <w:sz w:val="18"/>
                <w:szCs w:val="18"/>
                <w:lang w:val="ka-GE"/>
              </w:rPr>
              <w:t xml:space="preserve"> </w:t>
            </w:r>
            <w:proofErr w:type="spellStart"/>
            <w:r w:rsidRPr="00C90293">
              <w:rPr>
                <w:rFonts w:cstheme="minorHAnsi"/>
                <w:sz w:val="18"/>
                <w:szCs w:val="18"/>
                <w:lang w:val="ka-GE"/>
              </w:rPr>
              <w:t>of</w:t>
            </w:r>
            <w:proofErr w:type="spellEnd"/>
            <w:r w:rsidRPr="00C90293">
              <w:rPr>
                <w:rFonts w:cstheme="minorHAnsi"/>
                <w:sz w:val="18"/>
                <w:szCs w:val="18"/>
                <w:lang w:val="ka-GE"/>
              </w:rPr>
              <w:t xml:space="preserve"> </w:t>
            </w:r>
            <w:proofErr w:type="spellStart"/>
            <w:r w:rsidRPr="00C90293">
              <w:rPr>
                <w:rFonts w:cstheme="minorHAnsi"/>
                <w:sz w:val="18"/>
                <w:szCs w:val="18"/>
                <w:lang w:val="ka-GE"/>
              </w:rPr>
              <w:t>zone</w:t>
            </w:r>
            <w:proofErr w:type="spellEnd"/>
            <w:r w:rsidRPr="00C90293">
              <w:rPr>
                <w:rFonts w:cstheme="minorHAnsi"/>
                <w:sz w:val="18"/>
                <w:szCs w:val="18"/>
                <w:lang w:val="ka-GE"/>
              </w:rPr>
              <w:t xml:space="preserve"> </w:t>
            </w:r>
            <w:proofErr w:type="spellStart"/>
            <w:r w:rsidRPr="00C90293">
              <w:rPr>
                <w:rFonts w:cstheme="minorHAnsi"/>
                <w:sz w:val="18"/>
                <w:szCs w:val="18"/>
                <w:lang w:val="ka-GE"/>
              </w:rPr>
              <w:t>recognition</w:t>
            </w:r>
            <w:proofErr w:type="spellEnd"/>
            <w:r w:rsidRPr="00C90293">
              <w:rPr>
                <w:rFonts w:cstheme="minorHAnsi"/>
                <w:sz w:val="18"/>
                <w:szCs w:val="18"/>
                <w:lang w:val="ka-GE"/>
              </w:rPr>
              <w:t xml:space="preserve"> </w:t>
            </w:r>
            <w:proofErr w:type="spellStart"/>
            <w:r w:rsidRPr="00C90293">
              <w:rPr>
                <w:rFonts w:cstheme="minorHAnsi"/>
                <w:sz w:val="18"/>
                <w:szCs w:val="18"/>
                <w:lang w:val="ka-GE"/>
              </w:rPr>
              <w:t>and</w:t>
            </w:r>
            <w:proofErr w:type="spellEnd"/>
            <w:r w:rsidRPr="00C90293">
              <w:rPr>
                <w:rFonts w:cstheme="minorHAnsi"/>
                <w:sz w:val="18"/>
                <w:szCs w:val="18"/>
                <w:lang w:val="ka-GE"/>
              </w:rPr>
              <w:t xml:space="preserve"> </w:t>
            </w:r>
            <w:proofErr w:type="spellStart"/>
            <w:r w:rsidRPr="00C90293">
              <w:rPr>
                <w:rFonts w:cstheme="minorHAnsi"/>
                <w:sz w:val="18"/>
                <w:szCs w:val="18"/>
                <w:lang w:val="ka-GE"/>
              </w:rPr>
              <w:t>farm</w:t>
            </w:r>
            <w:proofErr w:type="spellEnd"/>
            <w:r w:rsidRPr="00C90293">
              <w:rPr>
                <w:rFonts w:cstheme="minorHAnsi"/>
                <w:sz w:val="18"/>
                <w:szCs w:val="18"/>
                <w:lang w:val="ka-GE"/>
              </w:rPr>
              <w:t xml:space="preserve"> </w:t>
            </w:r>
            <w:proofErr w:type="spellStart"/>
            <w:r w:rsidRPr="00C90293">
              <w:rPr>
                <w:rFonts w:cstheme="minorHAnsi"/>
                <w:sz w:val="18"/>
                <w:szCs w:val="18"/>
                <w:lang w:val="ka-GE"/>
              </w:rPr>
              <w:t>recognition</w:t>
            </w:r>
            <w:proofErr w:type="spellEnd"/>
            <w:r w:rsidRPr="00C90293">
              <w:rPr>
                <w:rFonts w:cstheme="minorHAnsi"/>
                <w:sz w:val="18"/>
                <w:szCs w:val="18"/>
                <w:lang w:val="ka-GE"/>
              </w:rPr>
              <w:t>.</w:t>
            </w:r>
            <w:r>
              <w:rPr>
                <w:rFonts w:cstheme="minorHAnsi"/>
                <w:sz w:val="18"/>
                <w:szCs w:val="18"/>
              </w:rPr>
              <w:t xml:space="preserve"> It would involve a group of 10 – 15 inspectors.</w:t>
            </w:r>
          </w:p>
        </w:tc>
      </w:tr>
      <w:tr w:rsidR="00E05F73" w:rsidRPr="00C90293" w14:paraId="7EA7DB24" w14:textId="77777777" w:rsidTr="009950D8">
        <w:trPr>
          <w:trHeight w:val="573"/>
        </w:trPr>
        <w:tc>
          <w:tcPr>
            <w:tcW w:w="303" w:type="dxa"/>
          </w:tcPr>
          <w:p w14:paraId="43A41B0B" w14:textId="77777777" w:rsidR="00E05F73" w:rsidRPr="00C90293" w:rsidRDefault="00E05F73" w:rsidP="00E05F73">
            <w:pPr>
              <w:pStyle w:val="ListParagraph"/>
              <w:numPr>
                <w:ilvl w:val="0"/>
                <w:numId w:val="1"/>
              </w:numPr>
              <w:jc w:val="center"/>
              <w:rPr>
                <w:rFonts w:cstheme="minorHAnsi"/>
                <w:sz w:val="18"/>
                <w:szCs w:val="18"/>
                <w:lang w:val="ka-GE"/>
              </w:rPr>
            </w:pPr>
          </w:p>
        </w:tc>
        <w:tc>
          <w:tcPr>
            <w:tcW w:w="2847" w:type="dxa"/>
          </w:tcPr>
          <w:p w14:paraId="09AE3F07" w14:textId="77777777" w:rsidR="00E05F73" w:rsidRPr="00C90293" w:rsidRDefault="00E05F73" w:rsidP="00E05F73">
            <w:pPr>
              <w:jc w:val="both"/>
              <w:rPr>
                <w:rFonts w:cstheme="minorHAnsi"/>
                <w:sz w:val="18"/>
                <w:szCs w:val="18"/>
              </w:rPr>
            </w:pPr>
            <w:r w:rsidRPr="00C90293">
              <w:rPr>
                <w:rFonts w:cstheme="minorHAnsi"/>
                <w:sz w:val="18"/>
                <w:szCs w:val="18"/>
              </w:rPr>
              <w:t>Training on Special Rule Related to the Eradication and Control of the Bluetongue" Decree N 398 of the Government of Georgia of August 3, 2018;</w:t>
            </w:r>
          </w:p>
        </w:tc>
        <w:tc>
          <w:tcPr>
            <w:tcW w:w="1530" w:type="dxa"/>
            <w:shd w:val="clear" w:color="auto" w:fill="FFFFFF" w:themeFill="background1"/>
          </w:tcPr>
          <w:p w14:paraId="7CB4B4B3" w14:textId="77777777" w:rsidR="00E05F73" w:rsidRPr="003A62A9" w:rsidRDefault="00E05F73" w:rsidP="00E05F73">
            <w:pPr>
              <w:rPr>
                <w:rFonts w:cstheme="minorHAnsi"/>
                <w:sz w:val="18"/>
                <w:szCs w:val="18"/>
              </w:rPr>
            </w:pPr>
            <w:r w:rsidRPr="003A62A9">
              <w:rPr>
                <w:rFonts w:cstheme="minorHAnsi"/>
                <w:sz w:val="18"/>
                <w:szCs w:val="18"/>
              </w:rPr>
              <w:t>September</w:t>
            </w:r>
            <w:r w:rsidRPr="003A62A9">
              <w:rPr>
                <w:rFonts w:cstheme="minorHAnsi"/>
                <w:sz w:val="18"/>
                <w:szCs w:val="18"/>
                <w:lang w:val="ka-GE"/>
              </w:rPr>
              <w:t xml:space="preserve"> </w:t>
            </w:r>
            <w:r w:rsidRPr="003A62A9">
              <w:rPr>
                <w:rFonts w:cstheme="minorHAnsi"/>
                <w:sz w:val="18"/>
                <w:szCs w:val="18"/>
              </w:rPr>
              <w:t>2020</w:t>
            </w:r>
            <w:r w:rsidRPr="003A62A9">
              <w:rPr>
                <w:rFonts w:cstheme="minorHAnsi"/>
                <w:sz w:val="18"/>
                <w:szCs w:val="18"/>
                <w:lang w:val="ka-GE"/>
              </w:rPr>
              <w:t xml:space="preserve"> – </w:t>
            </w:r>
            <w:r w:rsidRPr="003A62A9">
              <w:rPr>
                <w:rFonts w:cstheme="minorHAnsi"/>
                <w:sz w:val="18"/>
                <w:szCs w:val="18"/>
              </w:rPr>
              <w:t xml:space="preserve">April </w:t>
            </w:r>
            <w:r w:rsidRPr="003A62A9">
              <w:rPr>
                <w:rFonts w:cstheme="minorHAnsi"/>
                <w:sz w:val="18"/>
                <w:szCs w:val="18"/>
                <w:lang w:val="ka-GE"/>
              </w:rPr>
              <w:t>2021</w:t>
            </w:r>
          </w:p>
        </w:tc>
        <w:tc>
          <w:tcPr>
            <w:tcW w:w="9000" w:type="dxa"/>
          </w:tcPr>
          <w:p w14:paraId="3B8529F8" w14:textId="77777777" w:rsidR="00E05F73" w:rsidRPr="00C90293" w:rsidRDefault="00E05F73" w:rsidP="00E05F73">
            <w:pPr>
              <w:jc w:val="both"/>
              <w:rPr>
                <w:rFonts w:cstheme="minorHAnsi"/>
                <w:sz w:val="18"/>
                <w:szCs w:val="18"/>
                <w:lang w:val="ka-GE"/>
              </w:rPr>
            </w:pPr>
            <w:r>
              <w:rPr>
                <w:rFonts w:cstheme="minorHAnsi"/>
                <w:sz w:val="18"/>
                <w:szCs w:val="18"/>
              </w:rPr>
              <w:t xml:space="preserve">Training should be designed to facilitate inspectors’ work in implementation and enforcement of the regulation under Activity 4. It </w:t>
            </w:r>
            <w:proofErr w:type="spellStart"/>
            <w:r w:rsidRPr="00C90293">
              <w:rPr>
                <w:rFonts w:cstheme="minorHAnsi"/>
                <w:sz w:val="18"/>
                <w:szCs w:val="18"/>
                <w:lang w:val="ka-GE"/>
              </w:rPr>
              <w:t>would</w:t>
            </w:r>
            <w:proofErr w:type="spellEnd"/>
            <w:r w:rsidRPr="00C90293">
              <w:rPr>
                <w:rFonts w:cstheme="minorHAnsi"/>
                <w:sz w:val="18"/>
                <w:szCs w:val="18"/>
                <w:lang w:val="ka-GE"/>
              </w:rPr>
              <w:t xml:space="preserve"> </w:t>
            </w:r>
            <w:proofErr w:type="spellStart"/>
            <w:r w:rsidRPr="00C90293">
              <w:rPr>
                <w:rFonts w:cstheme="minorHAnsi"/>
                <w:sz w:val="18"/>
                <w:szCs w:val="18"/>
                <w:lang w:val="ka-GE"/>
              </w:rPr>
              <w:t>involve</w:t>
            </w:r>
            <w:proofErr w:type="spellEnd"/>
            <w:r w:rsidRPr="00C90293">
              <w:rPr>
                <w:rFonts w:cstheme="minorHAnsi"/>
                <w:sz w:val="18"/>
                <w:szCs w:val="18"/>
                <w:lang w:val="ka-GE"/>
              </w:rPr>
              <w:t xml:space="preserve"> </w:t>
            </w:r>
            <w:proofErr w:type="spellStart"/>
            <w:r w:rsidRPr="00C90293">
              <w:rPr>
                <w:rFonts w:cstheme="minorHAnsi"/>
                <w:sz w:val="18"/>
                <w:szCs w:val="18"/>
                <w:lang w:val="ka-GE"/>
              </w:rPr>
              <w:t>the</w:t>
            </w:r>
            <w:proofErr w:type="spellEnd"/>
            <w:r w:rsidRPr="00C90293">
              <w:rPr>
                <w:rFonts w:cstheme="minorHAnsi"/>
                <w:sz w:val="18"/>
                <w:szCs w:val="18"/>
                <w:lang w:val="ka-GE"/>
              </w:rPr>
              <w:t xml:space="preserve"> </w:t>
            </w:r>
            <w:proofErr w:type="spellStart"/>
            <w:r w:rsidRPr="00C90293">
              <w:rPr>
                <w:rFonts w:cstheme="minorHAnsi"/>
                <w:sz w:val="18"/>
                <w:szCs w:val="18"/>
                <w:lang w:val="ka-GE"/>
              </w:rPr>
              <w:t>following</w:t>
            </w:r>
            <w:proofErr w:type="spellEnd"/>
            <w:r w:rsidRPr="00C90293">
              <w:rPr>
                <w:rFonts w:cstheme="minorHAnsi"/>
                <w:sz w:val="18"/>
                <w:szCs w:val="18"/>
                <w:lang w:val="ka-GE"/>
              </w:rPr>
              <w:t xml:space="preserve"> </w:t>
            </w:r>
            <w:proofErr w:type="spellStart"/>
            <w:r w:rsidRPr="00C90293">
              <w:rPr>
                <w:rFonts w:cstheme="minorHAnsi"/>
                <w:sz w:val="18"/>
                <w:szCs w:val="18"/>
                <w:lang w:val="ka-GE"/>
              </w:rPr>
              <w:t>topics</w:t>
            </w:r>
            <w:proofErr w:type="spellEnd"/>
            <w:r w:rsidRPr="00C90293">
              <w:rPr>
                <w:rFonts w:cstheme="minorHAnsi"/>
                <w:sz w:val="18"/>
                <w:szCs w:val="18"/>
                <w:lang w:val="ka-GE"/>
              </w:rPr>
              <w:t xml:space="preserve">: </w:t>
            </w:r>
            <w:proofErr w:type="spellStart"/>
            <w:r w:rsidRPr="00C90293">
              <w:rPr>
                <w:rFonts w:cstheme="minorHAnsi"/>
                <w:sz w:val="18"/>
                <w:szCs w:val="18"/>
                <w:lang w:val="ka-GE"/>
              </w:rPr>
              <w:t>catching</w:t>
            </w:r>
            <w:proofErr w:type="spellEnd"/>
            <w:r w:rsidRPr="00C90293">
              <w:rPr>
                <w:rFonts w:cstheme="minorHAnsi"/>
                <w:sz w:val="18"/>
                <w:szCs w:val="18"/>
                <w:lang w:val="ka-GE"/>
              </w:rPr>
              <w:t xml:space="preserve"> </w:t>
            </w:r>
            <w:proofErr w:type="spellStart"/>
            <w:r w:rsidRPr="00C90293">
              <w:rPr>
                <w:rFonts w:cstheme="minorHAnsi"/>
                <w:sz w:val="18"/>
                <w:szCs w:val="18"/>
                <w:lang w:val="ka-GE"/>
              </w:rPr>
              <w:t>vectors</w:t>
            </w:r>
            <w:proofErr w:type="spellEnd"/>
            <w:r w:rsidRPr="00C90293">
              <w:rPr>
                <w:rFonts w:cstheme="minorHAnsi"/>
                <w:sz w:val="18"/>
                <w:szCs w:val="18"/>
                <w:lang w:val="ka-GE"/>
              </w:rPr>
              <w:t xml:space="preserve">, </w:t>
            </w:r>
            <w:proofErr w:type="spellStart"/>
            <w:r w:rsidRPr="00C90293">
              <w:rPr>
                <w:rFonts w:cstheme="minorHAnsi"/>
                <w:sz w:val="18"/>
                <w:szCs w:val="18"/>
                <w:lang w:val="ka-GE"/>
              </w:rPr>
              <w:t>identifying</w:t>
            </w:r>
            <w:proofErr w:type="spellEnd"/>
            <w:r w:rsidRPr="00C90293">
              <w:rPr>
                <w:rFonts w:cstheme="minorHAnsi"/>
                <w:sz w:val="18"/>
                <w:szCs w:val="18"/>
                <w:lang w:val="ka-GE"/>
              </w:rPr>
              <w:t xml:space="preserve">, </w:t>
            </w:r>
            <w:proofErr w:type="spellStart"/>
            <w:r w:rsidRPr="00C90293">
              <w:rPr>
                <w:rFonts w:cstheme="minorHAnsi"/>
                <w:sz w:val="18"/>
                <w:szCs w:val="18"/>
                <w:lang w:val="ka-GE"/>
              </w:rPr>
              <w:t>preparing</w:t>
            </w:r>
            <w:proofErr w:type="spellEnd"/>
            <w:r w:rsidRPr="00C90293">
              <w:rPr>
                <w:rFonts w:cstheme="minorHAnsi"/>
                <w:sz w:val="18"/>
                <w:szCs w:val="18"/>
                <w:lang w:val="ka-GE"/>
              </w:rPr>
              <w:t xml:space="preserve"> </w:t>
            </w:r>
            <w:proofErr w:type="spellStart"/>
            <w:r w:rsidRPr="00C90293">
              <w:rPr>
                <w:rFonts w:cstheme="minorHAnsi"/>
                <w:sz w:val="18"/>
                <w:szCs w:val="18"/>
                <w:lang w:val="ka-GE"/>
              </w:rPr>
              <w:t>the</w:t>
            </w:r>
            <w:proofErr w:type="spellEnd"/>
            <w:r w:rsidRPr="00C90293">
              <w:rPr>
                <w:rFonts w:cstheme="minorHAnsi"/>
                <w:sz w:val="18"/>
                <w:szCs w:val="18"/>
                <w:lang w:val="ka-GE"/>
              </w:rPr>
              <w:t xml:space="preserve"> </w:t>
            </w:r>
            <w:proofErr w:type="spellStart"/>
            <w:r w:rsidRPr="00C90293">
              <w:rPr>
                <w:rFonts w:cstheme="minorHAnsi"/>
                <w:sz w:val="18"/>
                <w:szCs w:val="18"/>
                <w:lang w:val="ka-GE"/>
              </w:rPr>
              <w:t>sample</w:t>
            </w:r>
            <w:proofErr w:type="spellEnd"/>
            <w:r w:rsidRPr="00C90293">
              <w:rPr>
                <w:rFonts w:cstheme="minorHAnsi"/>
                <w:sz w:val="18"/>
                <w:szCs w:val="18"/>
                <w:lang w:val="ka-GE"/>
              </w:rPr>
              <w:t xml:space="preserve"> </w:t>
            </w:r>
            <w:proofErr w:type="spellStart"/>
            <w:r w:rsidRPr="00C90293">
              <w:rPr>
                <w:rFonts w:cstheme="minorHAnsi"/>
                <w:sz w:val="18"/>
                <w:szCs w:val="18"/>
                <w:lang w:val="ka-GE"/>
              </w:rPr>
              <w:t>f</w:t>
            </w:r>
            <w:r>
              <w:rPr>
                <w:rFonts w:cstheme="minorHAnsi"/>
                <w:sz w:val="18"/>
                <w:szCs w:val="18"/>
                <w:lang w:val="ka-GE"/>
              </w:rPr>
              <w:t>or</w:t>
            </w:r>
            <w:proofErr w:type="spellEnd"/>
            <w:r>
              <w:rPr>
                <w:rFonts w:cstheme="minorHAnsi"/>
                <w:sz w:val="18"/>
                <w:szCs w:val="18"/>
                <w:lang w:val="ka-GE"/>
              </w:rPr>
              <w:t xml:space="preserve"> </w:t>
            </w:r>
            <w:proofErr w:type="spellStart"/>
            <w:r>
              <w:rPr>
                <w:rFonts w:cstheme="minorHAnsi"/>
                <w:sz w:val="18"/>
                <w:szCs w:val="18"/>
                <w:lang w:val="ka-GE"/>
              </w:rPr>
              <w:t>shipment</w:t>
            </w:r>
            <w:proofErr w:type="spellEnd"/>
            <w:r>
              <w:rPr>
                <w:rFonts w:cstheme="minorHAnsi"/>
                <w:sz w:val="18"/>
                <w:szCs w:val="18"/>
                <w:lang w:val="ka-GE"/>
              </w:rPr>
              <w:t xml:space="preserve"> </w:t>
            </w:r>
            <w:proofErr w:type="spellStart"/>
            <w:r>
              <w:rPr>
                <w:rFonts w:cstheme="minorHAnsi"/>
                <w:sz w:val="18"/>
                <w:szCs w:val="18"/>
                <w:lang w:val="ka-GE"/>
              </w:rPr>
              <w:t>to</w:t>
            </w:r>
            <w:proofErr w:type="spellEnd"/>
            <w:r>
              <w:rPr>
                <w:rFonts w:cstheme="minorHAnsi"/>
                <w:sz w:val="18"/>
                <w:szCs w:val="18"/>
                <w:lang w:val="ka-GE"/>
              </w:rPr>
              <w:t xml:space="preserve"> </w:t>
            </w:r>
            <w:proofErr w:type="spellStart"/>
            <w:r>
              <w:rPr>
                <w:rFonts w:cstheme="minorHAnsi"/>
                <w:sz w:val="18"/>
                <w:szCs w:val="18"/>
                <w:lang w:val="ka-GE"/>
              </w:rPr>
              <w:t>the</w:t>
            </w:r>
            <w:proofErr w:type="spellEnd"/>
            <w:r>
              <w:rPr>
                <w:rFonts w:cstheme="minorHAnsi"/>
                <w:sz w:val="18"/>
                <w:szCs w:val="18"/>
                <w:lang w:val="ka-GE"/>
              </w:rPr>
              <w:t xml:space="preserve"> </w:t>
            </w:r>
            <w:proofErr w:type="spellStart"/>
            <w:r>
              <w:rPr>
                <w:rFonts w:cstheme="minorHAnsi"/>
                <w:sz w:val="18"/>
                <w:szCs w:val="18"/>
                <w:lang w:val="ka-GE"/>
              </w:rPr>
              <w:t>laboratory</w:t>
            </w:r>
            <w:proofErr w:type="spellEnd"/>
            <w:r>
              <w:rPr>
                <w:rFonts w:cstheme="minorHAnsi"/>
                <w:sz w:val="18"/>
                <w:szCs w:val="18"/>
                <w:lang w:val="ka-GE"/>
              </w:rPr>
              <w:t xml:space="preserve">; </w:t>
            </w:r>
            <w:proofErr w:type="spellStart"/>
            <w:r>
              <w:rPr>
                <w:rFonts w:cstheme="minorHAnsi"/>
                <w:sz w:val="18"/>
                <w:szCs w:val="18"/>
                <w:lang w:val="ka-GE"/>
              </w:rPr>
              <w:t>d</w:t>
            </w:r>
            <w:r w:rsidRPr="00C90293">
              <w:rPr>
                <w:rFonts w:cstheme="minorHAnsi"/>
                <w:sz w:val="18"/>
                <w:szCs w:val="18"/>
                <w:lang w:val="ka-GE"/>
              </w:rPr>
              <w:t>isease</w:t>
            </w:r>
            <w:proofErr w:type="spellEnd"/>
            <w:r w:rsidRPr="00C90293">
              <w:rPr>
                <w:rFonts w:cstheme="minorHAnsi"/>
                <w:sz w:val="18"/>
                <w:szCs w:val="18"/>
                <w:lang w:val="ka-GE"/>
              </w:rPr>
              <w:t xml:space="preserve"> surveillance in animals.                                                                                                          </w:t>
            </w:r>
          </w:p>
        </w:tc>
      </w:tr>
      <w:tr w:rsidR="00780D2A" w:rsidRPr="00C90293" w14:paraId="6C6E67A0" w14:textId="77777777" w:rsidTr="005337B1">
        <w:trPr>
          <w:trHeight w:val="573"/>
        </w:trPr>
        <w:tc>
          <w:tcPr>
            <w:tcW w:w="303" w:type="dxa"/>
          </w:tcPr>
          <w:p w14:paraId="088F024C" w14:textId="77777777" w:rsidR="00780D2A" w:rsidRPr="00C90293" w:rsidRDefault="00780D2A" w:rsidP="00780D2A">
            <w:pPr>
              <w:pStyle w:val="ListParagraph"/>
              <w:numPr>
                <w:ilvl w:val="0"/>
                <w:numId w:val="1"/>
              </w:numPr>
              <w:jc w:val="center"/>
              <w:rPr>
                <w:rFonts w:cstheme="minorHAnsi"/>
                <w:sz w:val="18"/>
                <w:szCs w:val="18"/>
                <w:lang w:val="ka-GE"/>
              </w:rPr>
            </w:pPr>
          </w:p>
        </w:tc>
        <w:tc>
          <w:tcPr>
            <w:tcW w:w="2847" w:type="dxa"/>
          </w:tcPr>
          <w:p w14:paraId="7157C7CB" w14:textId="77777777" w:rsidR="00780D2A" w:rsidRPr="00C90293" w:rsidRDefault="00780D2A" w:rsidP="00780D2A">
            <w:pPr>
              <w:jc w:val="both"/>
              <w:rPr>
                <w:rFonts w:cstheme="minorHAnsi"/>
                <w:sz w:val="18"/>
                <w:szCs w:val="18"/>
              </w:rPr>
            </w:pPr>
            <w:r>
              <w:rPr>
                <w:rFonts w:cstheme="minorHAnsi"/>
                <w:sz w:val="18"/>
                <w:szCs w:val="18"/>
              </w:rPr>
              <w:t>Workshops on HACCP for food processing companies</w:t>
            </w:r>
          </w:p>
        </w:tc>
        <w:tc>
          <w:tcPr>
            <w:tcW w:w="1530" w:type="dxa"/>
            <w:shd w:val="clear" w:color="auto" w:fill="FFFFFF" w:themeFill="background1"/>
          </w:tcPr>
          <w:p w14:paraId="4F989AB3" w14:textId="77777777" w:rsidR="00780D2A" w:rsidRPr="00783959" w:rsidRDefault="00783959" w:rsidP="00617958">
            <w:pPr>
              <w:rPr>
                <w:rFonts w:cstheme="minorHAnsi"/>
                <w:color w:val="FF0000"/>
                <w:sz w:val="18"/>
                <w:szCs w:val="18"/>
                <w:highlight w:val="yellow"/>
              </w:rPr>
            </w:pPr>
            <w:r w:rsidRPr="00EC768F">
              <w:rPr>
                <w:rFonts w:cstheme="minorHAnsi"/>
                <w:sz w:val="18"/>
                <w:szCs w:val="18"/>
                <w:highlight w:val="yellow"/>
              </w:rPr>
              <w:t>September</w:t>
            </w:r>
            <w:r w:rsidRPr="00EC768F">
              <w:rPr>
                <w:rFonts w:cstheme="minorHAnsi"/>
                <w:sz w:val="18"/>
                <w:szCs w:val="18"/>
                <w:highlight w:val="yellow"/>
                <w:lang w:val="ka-GE"/>
              </w:rPr>
              <w:t xml:space="preserve"> – </w:t>
            </w:r>
            <w:r w:rsidR="00617958" w:rsidRPr="00EC768F">
              <w:rPr>
                <w:rFonts w:cstheme="minorHAnsi"/>
                <w:sz w:val="18"/>
                <w:szCs w:val="18"/>
                <w:highlight w:val="yellow"/>
              </w:rPr>
              <w:t>November</w:t>
            </w:r>
            <w:r w:rsidRPr="00EC768F">
              <w:rPr>
                <w:rFonts w:cstheme="minorHAnsi"/>
                <w:sz w:val="18"/>
                <w:szCs w:val="18"/>
                <w:highlight w:val="yellow"/>
              </w:rPr>
              <w:t xml:space="preserve"> 2020</w:t>
            </w:r>
          </w:p>
        </w:tc>
        <w:tc>
          <w:tcPr>
            <w:tcW w:w="9000" w:type="dxa"/>
          </w:tcPr>
          <w:p w14:paraId="2C73AADB" w14:textId="77777777" w:rsidR="00780D2A" w:rsidRPr="00E8252C" w:rsidRDefault="00780D2A" w:rsidP="00780D2A">
            <w:pPr>
              <w:jc w:val="both"/>
              <w:rPr>
                <w:rFonts w:cstheme="minorHAnsi"/>
                <w:sz w:val="18"/>
                <w:szCs w:val="18"/>
              </w:rPr>
            </w:pPr>
            <w:r>
              <w:rPr>
                <w:rFonts w:cstheme="minorHAnsi"/>
                <w:sz w:val="18"/>
                <w:szCs w:val="18"/>
              </w:rPr>
              <w:t xml:space="preserve">HACCP requirements have been amended in </w:t>
            </w:r>
            <w:proofErr w:type="gramStart"/>
            <w:r>
              <w:rPr>
                <w:rFonts w:cstheme="minorHAnsi"/>
                <w:sz w:val="18"/>
                <w:szCs w:val="18"/>
              </w:rPr>
              <w:t>December 2019, and</w:t>
            </w:r>
            <w:proofErr w:type="gramEnd"/>
            <w:r>
              <w:rPr>
                <w:rFonts w:cstheme="minorHAnsi"/>
                <w:sz w:val="18"/>
                <w:szCs w:val="18"/>
              </w:rPr>
              <w:t xml:space="preserve"> will enter into force for food processing enterprises in January 2021. It is estimated some 500 producers located all over Georgia will have to comply with the standard. In order to ensure outreach for relevant information and awareness raising, NFA needs assistance in preparation and organization of 10 events in the period from April to December 2020. </w:t>
            </w:r>
          </w:p>
        </w:tc>
      </w:tr>
    </w:tbl>
    <w:p w14:paraId="628A5DAF" w14:textId="77777777" w:rsidR="004B68CA" w:rsidRDefault="004B68CA" w:rsidP="005B54C3">
      <w:pPr>
        <w:rPr>
          <w:rFonts w:cstheme="minorHAnsi"/>
          <w:sz w:val="18"/>
          <w:szCs w:val="18"/>
        </w:rPr>
      </w:pPr>
    </w:p>
    <w:p w14:paraId="7138E673" w14:textId="77777777" w:rsidR="004B68CA" w:rsidRPr="004B68CA" w:rsidRDefault="004B68CA" w:rsidP="004B68CA">
      <w:pPr>
        <w:rPr>
          <w:rFonts w:cstheme="minorHAnsi"/>
          <w:sz w:val="18"/>
          <w:szCs w:val="18"/>
        </w:rPr>
      </w:pPr>
    </w:p>
    <w:p w14:paraId="2EEDCEDA" w14:textId="77777777" w:rsidR="004B68CA" w:rsidRPr="004B68CA" w:rsidRDefault="004B68CA" w:rsidP="004B68CA">
      <w:pPr>
        <w:rPr>
          <w:rFonts w:cstheme="minorHAnsi"/>
          <w:sz w:val="18"/>
          <w:szCs w:val="18"/>
        </w:rPr>
      </w:pPr>
    </w:p>
    <w:p w14:paraId="74254B72" w14:textId="6919F209" w:rsidR="004B68CA" w:rsidRDefault="004B68CA" w:rsidP="004B68CA">
      <w:pPr>
        <w:rPr>
          <w:rFonts w:cstheme="minorHAnsi"/>
          <w:sz w:val="18"/>
          <w:szCs w:val="18"/>
        </w:rPr>
      </w:pPr>
    </w:p>
    <w:p w14:paraId="23672667" w14:textId="53C2E066" w:rsidR="005F1AB9" w:rsidRDefault="005F1AB9" w:rsidP="004B68CA">
      <w:pPr>
        <w:rPr>
          <w:rFonts w:cstheme="minorHAnsi"/>
          <w:sz w:val="18"/>
          <w:szCs w:val="18"/>
        </w:rPr>
      </w:pPr>
    </w:p>
    <w:p w14:paraId="76279300" w14:textId="31E4D019" w:rsidR="005F1AB9" w:rsidRDefault="005F1AB9" w:rsidP="004B68CA">
      <w:pPr>
        <w:rPr>
          <w:rFonts w:cstheme="minorHAnsi"/>
          <w:sz w:val="18"/>
          <w:szCs w:val="18"/>
        </w:rPr>
      </w:pPr>
    </w:p>
    <w:p w14:paraId="32101930" w14:textId="0C956876" w:rsidR="005F1AB9" w:rsidRDefault="005F1AB9" w:rsidP="004B68CA">
      <w:pPr>
        <w:rPr>
          <w:rFonts w:cstheme="minorHAnsi"/>
          <w:sz w:val="18"/>
          <w:szCs w:val="18"/>
        </w:rPr>
      </w:pPr>
    </w:p>
    <w:p w14:paraId="5AD539B4" w14:textId="63AD2C5E" w:rsidR="005F1AB9" w:rsidRDefault="005F1AB9" w:rsidP="004B68CA">
      <w:pPr>
        <w:rPr>
          <w:rFonts w:cstheme="minorHAnsi"/>
          <w:sz w:val="18"/>
          <w:szCs w:val="18"/>
        </w:rPr>
      </w:pPr>
    </w:p>
    <w:p w14:paraId="058BF7AE" w14:textId="3819584A" w:rsidR="00292D29" w:rsidRDefault="00292D29" w:rsidP="004B68CA">
      <w:pPr>
        <w:rPr>
          <w:rFonts w:cstheme="minorHAnsi"/>
          <w:sz w:val="18"/>
          <w:szCs w:val="18"/>
        </w:rPr>
      </w:pPr>
    </w:p>
    <w:p w14:paraId="3F5CF349" w14:textId="77777777" w:rsidR="00292D29" w:rsidRDefault="00292D29" w:rsidP="004B68CA">
      <w:pPr>
        <w:rPr>
          <w:rFonts w:cstheme="minorHAnsi"/>
          <w:sz w:val="18"/>
          <w:szCs w:val="18"/>
        </w:rPr>
      </w:pPr>
    </w:p>
    <w:p w14:paraId="6EF24939" w14:textId="40398D2B" w:rsidR="005F1AB9" w:rsidRDefault="005F1AB9" w:rsidP="004B68CA">
      <w:pPr>
        <w:rPr>
          <w:rFonts w:cstheme="minorHAnsi"/>
          <w:sz w:val="18"/>
          <w:szCs w:val="18"/>
        </w:rPr>
      </w:pPr>
    </w:p>
    <w:p w14:paraId="7AE97BEA" w14:textId="1C30F87C" w:rsidR="005F1AB9" w:rsidRDefault="005F1AB9" w:rsidP="004B68CA">
      <w:pPr>
        <w:rPr>
          <w:rFonts w:cstheme="minorHAnsi"/>
          <w:sz w:val="18"/>
          <w:szCs w:val="18"/>
        </w:rPr>
      </w:pPr>
    </w:p>
    <w:p w14:paraId="1DB95DAE" w14:textId="4D98842D" w:rsidR="005F1AB9" w:rsidRDefault="005F1AB9" w:rsidP="004B68CA">
      <w:pPr>
        <w:rPr>
          <w:rFonts w:cstheme="minorHAnsi"/>
          <w:sz w:val="18"/>
          <w:szCs w:val="18"/>
        </w:rPr>
      </w:pPr>
    </w:p>
    <w:tbl>
      <w:tblPr>
        <w:tblStyle w:val="TableGrid1"/>
        <w:tblW w:w="13950" w:type="dxa"/>
        <w:tblInd w:w="-905" w:type="dxa"/>
        <w:tblLook w:val="04A0" w:firstRow="1" w:lastRow="0" w:firstColumn="1" w:lastColumn="0" w:noHBand="0" w:noVBand="1"/>
      </w:tblPr>
      <w:tblGrid>
        <w:gridCol w:w="353"/>
        <w:gridCol w:w="3304"/>
        <w:gridCol w:w="1476"/>
        <w:gridCol w:w="8817"/>
      </w:tblGrid>
      <w:tr w:rsidR="00B331DE" w:rsidRPr="00B331DE" w14:paraId="5D58A7E0" w14:textId="77777777" w:rsidTr="006874AA">
        <w:trPr>
          <w:trHeight w:val="299"/>
        </w:trPr>
        <w:tc>
          <w:tcPr>
            <w:tcW w:w="13950" w:type="dxa"/>
            <w:gridSpan w:val="4"/>
            <w:shd w:val="clear" w:color="auto" w:fill="FFFF00"/>
          </w:tcPr>
          <w:p w14:paraId="6E160207" w14:textId="77777777" w:rsidR="00B331DE" w:rsidRPr="00B331DE" w:rsidRDefault="00B331DE" w:rsidP="00B331DE">
            <w:pPr>
              <w:rPr>
                <w:rFonts w:cstheme="minorHAnsi"/>
                <w:b/>
                <w:sz w:val="18"/>
                <w:szCs w:val="18"/>
              </w:rPr>
            </w:pPr>
            <w:r w:rsidRPr="00B331DE">
              <w:rPr>
                <w:rFonts w:cstheme="minorHAnsi"/>
                <w:b/>
                <w:sz w:val="18"/>
                <w:szCs w:val="18"/>
              </w:rPr>
              <w:t xml:space="preserve">Competition Agency of Georgia </w:t>
            </w:r>
          </w:p>
        </w:tc>
      </w:tr>
      <w:tr w:rsidR="00B331DE" w:rsidRPr="00B331DE" w14:paraId="1335A42C" w14:textId="77777777" w:rsidTr="006874AA">
        <w:trPr>
          <w:trHeight w:val="299"/>
        </w:trPr>
        <w:tc>
          <w:tcPr>
            <w:tcW w:w="13950" w:type="dxa"/>
            <w:gridSpan w:val="4"/>
            <w:shd w:val="clear" w:color="auto" w:fill="D9E2F3" w:themeFill="accent5" w:themeFillTint="33"/>
          </w:tcPr>
          <w:p w14:paraId="2D2D146B" w14:textId="77777777" w:rsidR="00B331DE" w:rsidRPr="00B331DE" w:rsidRDefault="00B331DE" w:rsidP="00B331DE">
            <w:pPr>
              <w:jc w:val="both"/>
              <w:rPr>
                <w:rFonts w:cstheme="minorHAnsi"/>
                <w:sz w:val="18"/>
                <w:szCs w:val="18"/>
              </w:rPr>
            </w:pPr>
          </w:p>
          <w:p w14:paraId="357510C2" w14:textId="77777777" w:rsidR="00B331DE" w:rsidRPr="00B331DE" w:rsidRDefault="00B331DE" w:rsidP="00B331DE">
            <w:pPr>
              <w:jc w:val="both"/>
              <w:rPr>
                <w:rFonts w:cstheme="minorHAnsi"/>
                <w:sz w:val="18"/>
                <w:szCs w:val="18"/>
              </w:rPr>
            </w:pPr>
            <w:r w:rsidRPr="00B331DE">
              <w:rPr>
                <w:rFonts w:cstheme="minorHAnsi"/>
                <w:sz w:val="18"/>
                <w:szCs w:val="18"/>
              </w:rPr>
              <w:t xml:space="preserve">It </w:t>
            </w:r>
            <w:proofErr w:type="gramStart"/>
            <w:r w:rsidRPr="00B331DE">
              <w:rPr>
                <w:rFonts w:cstheme="minorHAnsi"/>
                <w:sz w:val="18"/>
                <w:szCs w:val="18"/>
              </w:rPr>
              <w:t>has to</w:t>
            </w:r>
            <w:proofErr w:type="gramEnd"/>
            <w:r w:rsidRPr="00B331DE">
              <w:rPr>
                <w:rFonts w:cstheme="minorHAnsi"/>
                <w:sz w:val="18"/>
                <w:szCs w:val="18"/>
              </w:rPr>
              <w:t xml:space="preserve"> be highlighted, that the EU funded project “Support to the Georgian Competition Agency” was launched in January 2017. The project was implemented by a Consortium led by B&amp;S Europe. With the overall objective to enhance the law enforcement capacity and professional skills of the Competition Agency of Georgia, the project aimed to support institutional capacity building, improve the legal framework and competition culture in the country. The project ended in January 2020.</w:t>
            </w:r>
          </w:p>
          <w:p w14:paraId="6710ABAE" w14:textId="77777777" w:rsidR="00B331DE" w:rsidRPr="00B331DE" w:rsidRDefault="00B331DE" w:rsidP="00B331DE">
            <w:pPr>
              <w:jc w:val="both"/>
              <w:rPr>
                <w:rFonts w:cstheme="minorHAnsi"/>
                <w:sz w:val="18"/>
                <w:szCs w:val="18"/>
              </w:rPr>
            </w:pPr>
          </w:p>
          <w:p w14:paraId="05971DD0" w14:textId="77777777" w:rsidR="00B331DE" w:rsidRPr="00B331DE" w:rsidRDefault="00B331DE" w:rsidP="00B331DE">
            <w:pPr>
              <w:jc w:val="both"/>
              <w:rPr>
                <w:rFonts w:cstheme="minorHAnsi"/>
                <w:sz w:val="18"/>
                <w:szCs w:val="18"/>
                <w:lang w:val="ka-GE"/>
              </w:rPr>
            </w:pPr>
            <w:r w:rsidRPr="00B331DE">
              <w:rPr>
                <w:rFonts w:cstheme="minorHAnsi"/>
                <w:sz w:val="18"/>
                <w:szCs w:val="18"/>
              </w:rPr>
              <w:t xml:space="preserve">Under the support </w:t>
            </w:r>
            <w:proofErr w:type="spellStart"/>
            <w:r w:rsidRPr="00B331DE">
              <w:rPr>
                <w:rFonts w:cstheme="minorHAnsi"/>
                <w:sz w:val="18"/>
                <w:szCs w:val="18"/>
              </w:rPr>
              <w:t>programme</w:t>
            </w:r>
            <w:proofErr w:type="spellEnd"/>
            <w:r w:rsidRPr="00B331DE">
              <w:rPr>
                <w:rFonts w:cstheme="minorHAnsi"/>
                <w:sz w:val="18"/>
                <w:szCs w:val="18"/>
              </w:rPr>
              <w:t xml:space="preserve"> for the implementation of the EU-Georgia Association Agreement, the EU intends to support a twinning project with the Competition Agency of Georgia - “strengthening Capacity of the Competition Agency of Georgia”. Competition Authorities of Lithuania and Austria have been selected to implement jointly the mentioned twinning project. But the signature of the contract and respectively, commencement of the project is subject to the adoption by the Parliament of Georgia of the amendments to the Competition Law and </w:t>
            </w:r>
            <w:r w:rsidRPr="00B331DE">
              <w:rPr>
                <w:rFonts w:ascii="Sylfaen" w:hAnsi="Sylfaen" w:cstheme="minorHAnsi"/>
                <w:sz w:val="18"/>
                <w:szCs w:val="18"/>
              </w:rPr>
              <w:t xml:space="preserve">new </w:t>
            </w:r>
            <w:r w:rsidRPr="00B331DE">
              <w:rPr>
                <w:rFonts w:cstheme="minorHAnsi"/>
                <w:sz w:val="18"/>
                <w:szCs w:val="18"/>
              </w:rPr>
              <w:t xml:space="preserve">Consumer Protection Law. Amendment to the Law of Georgia “on Competition” was passed through the second Parliamentary hearing, but the Parliamentary hearings regarding Consumer Protection Law are not expected to be finished until Spring 2021. </w:t>
            </w:r>
            <w:proofErr w:type="gramStart"/>
            <w:r w:rsidRPr="00B331DE">
              <w:rPr>
                <w:rFonts w:cstheme="minorHAnsi"/>
                <w:sz w:val="18"/>
                <w:szCs w:val="18"/>
              </w:rPr>
              <w:t>Accordingly</w:t>
            </w:r>
            <w:proofErr w:type="gramEnd"/>
            <w:r w:rsidRPr="00B331DE">
              <w:rPr>
                <w:rFonts w:cstheme="minorHAnsi"/>
                <w:sz w:val="18"/>
                <w:szCs w:val="18"/>
              </w:rPr>
              <w:t xml:space="preserve"> financial support from AA facility would greatly contribute Competition Agency of Georgia. </w:t>
            </w:r>
          </w:p>
          <w:p w14:paraId="115F61BF" w14:textId="77777777" w:rsidR="00B331DE" w:rsidRPr="00B331DE" w:rsidRDefault="00B331DE" w:rsidP="00B331DE">
            <w:pPr>
              <w:rPr>
                <w:rFonts w:cstheme="minorHAnsi"/>
                <w:b/>
                <w:sz w:val="18"/>
                <w:szCs w:val="18"/>
              </w:rPr>
            </w:pPr>
          </w:p>
        </w:tc>
      </w:tr>
      <w:tr w:rsidR="00B331DE" w:rsidRPr="00B331DE" w14:paraId="1A5F2679" w14:textId="77777777" w:rsidTr="006874AA">
        <w:trPr>
          <w:trHeight w:val="299"/>
        </w:trPr>
        <w:tc>
          <w:tcPr>
            <w:tcW w:w="353" w:type="dxa"/>
            <w:shd w:val="clear" w:color="auto" w:fill="B4C6E7" w:themeFill="accent5" w:themeFillTint="66"/>
          </w:tcPr>
          <w:p w14:paraId="0BE7DFEA" w14:textId="77777777" w:rsidR="00B331DE" w:rsidRPr="00B331DE" w:rsidRDefault="00B331DE" w:rsidP="00B331DE">
            <w:pPr>
              <w:jc w:val="center"/>
              <w:rPr>
                <w:rFonts w:cstheme="minorHAnsi"/>
                <w:sz w:val="18"/>
                <w:szCs w:val="18"/>
              </w:rPr>
            </w:pPr>
          </w:p>
        </w:tc>
        <w:tc>
          <w:tcPr>
            <w:tcW w:w="3304" w:type="dxa"/>
            <w:shd w:val="clear" w:color="auto" w:fill="B4C6E7" w:themeFill="accent5" w:themeFillTint="66"/>
          </w:tcPr>
          <w:p w14:paraId="5985C2C3" w14:textId="77777777" w:rsidR="00B331DE" w:rsidRPr="00B331DE" w:rsidRDefault="00B331DE" w:rsidP="00B331DE">
            <w:pPr>
              <w:rPr>
                <w:rFonts w:cstheme="minorHAnsi"/>
                <w:sz w:val="18"/>
                <w:szCs w:val="18"/>
              </w:rPr>
            </w:pPr>
            <w:r w:rsidRPr="00B331DE">
              <w:rPr>
                <w:rFonts w:cstheme="minorHAnsi"/>
                <w:sz w:val="18"/>
                <w:szCs w:val="18"/>
              </w:rPr>
              <w:t>Activity</w:t>
            </w:r>
          </w:p>
        </w:tc>
        <w:tc>
          <w:tcPr>
            <w:tcW w:w="1476" w:type="dxa"/>
            <w:shd w:val="clear" w:color="auto" w:fill="B4C6E7" w:themeFill="accent5" w:themeFillTint="66"/>
          </w:tcPr>
          <w:p w14:paraId="7B8D99DD" w14:textId="77777777" w:rsidR="00B331DE" w:rsidRPr="00B331DE" w:rsidRDefault="00B331DE" w:rsidP="00B331DE">
            <w:pPr>
              <w:rPr>
                <w:rFonts w:cstheme="minorHAnsi"/>
                <w:sz w:val="18"/>
                <w:szCs w:val="18"/>
              </w:rPr>
            </w:pPr>
            <w:r w:rsidRPr="00B331DE">
              <w:rPr>
                <w:rFonts w:cstheme="minorHAnsi"/>
                <w:sz w:val="18"/>
                <w:szCs w:val="18"/>
              </w:rPr>
              <w:t>Dates of implementation</w:t>
            </w:r>
          </w:p>
          <w:p w14:paraId="0254AA20" w14:textId="4B0D4AFC" w:rsidR="00B331DE" w:rsidRPr="00B331DE" w:rsidRDefault="00B331DE" w:rsidP="00B331DE">
            <w:pPr>
              <w:rPr>
                <w:rFonts w:cstheme="minorHAnsi"/>
                <w:sz w:val="18"/>
                <w:szCs w:val="18"/>
              </w:rPr>
            </w:pPr>
            <w:r w:rsidRPr="00B331DE">
              <w:rPr>
                <w:rFonts w:cstheme="minorHAnsi"/>
                <w:sz w:val="18"/>
                <w:szCs w:val="18"/>
              </w:rPr>
              <w:t xml:space="preserve">(2020-2021) </w:t>
            </w:r>
          </w:p>
        </w:tc>
        <w:tc>
          <w:tcPr>
            <w:tcW w:w="8817" w:type="dxa"/>
            <w:shd w:val="clear" w:color="auto" w:fill="B4C6E7" w:themeFill="accent5" w:themeFillTint="66"/>
          </w:tcPr>
          <w:p w14:paraId="050F4467" w14:textId="77777777" w:rsidR="00B331DE" w:rsidRPr="00B331DE" w:rsidRDefault="00B331DE" w:rsidP="00B331DE">
            <w:pPr>
              <w:rPr>
                <w:rFonts w:cstheme="minorHAnsi"/>
                <w:sz w:val="18"/>
                <w:szCs w:val="18"/>
              </w:rPr>
            </w:pPr>
            <w:r w:rsidRPr="00B331DE">
              <w:rPr>
                <w:rFonts w:cstheme="minorHAnsi"/>
                <w:sz w:val="18"/>
                <w:szCs w:val="18"/>
              </w:rPr>
              <w:t>Comment/Justification/</w:t>
            </w:r>
          </w:p>
          <w:p w14:paraId="35BFCE6E" w14:textId="77777777" w:rsidR="00B331DE" w:rsidRPr="00B331DE" w:rsidRDefault="00B331DE" w:rsidP="00B331DE">
            <w:pPr>
              <w:rPr>
                <w:rFonts w:cstheme="minorHAnsi"/>
                <w:sz w:val="18"/>
                <w:szCs w:val="18"/>
              </w:rPr>
            </w:pPr>
            <w:r w:rsidRPr="00B331DE">
              <w:rPr>
                <w:rFonts w:cstheme="minorHAnsi"/>
                <w:sz w:val="18"/>
                <w:szCs w:val="18"/>
              </w:rPr>
              <w:t>Baseline</w:t>
            </w:r>
          </w:p>
        </w:tc>
      </w:tr>
      <w:tr w:rsidR="00B331DE" w:rsidRPr="00B331DE" w14:paraId="70B9D7CA" w14:textId="77777777" w:rsidTr="006874AA">
        <w:trPr>
          <w:trHeight w:val="573"/>
        </w:trPr>
        <w:tc>
          <w:tcPr>
            <w:tcW w:w="353" w:type="dxa"/>
          </w:tcPr>
          <w:p w14:paraId="4F53B650" w14:textId="77777777" w:rsidR="00B331DE" w:rsidRPr="00B331DE" w:rsidRDefault="00B331DE" w:rsidP="00B331DE">
            <w:pPr>
              <w:numPr>
                <w:ilvl w:val="0"/>
                <w:numId w:val="11"/>
              </w:numPr>
              <w:contextualSpacing/>
              <w:jc w:val="center"/>
              <w:rPr>
                <w:rFonts w:cstheme="minorHAnsi"/>
                <w:sz w:val="18"/>
                <w:szCs w:val="18"/>
              </w:rPr>
            </w:pPr>
          </w:p>
        </w:tc>
        <w:tc>
          <w:tcPr>
            <w:tcW w:w="3304" w:type="dxa"/>
          </w:tcPr>
          <w:p w14:paraId="59860A68" w14:textId="77777777" w:rsidR="00B331DE" w:rsidRPr="00B331DE" w:rsidRDefault="00B331DE" w:rsidP="00B331DE">
            <w:pPr>
              <w:jc w:val="both"/>
              <w:rPr>
                <w:rFonts w:cstheme="minorHAnsi"/>
                <w:sz w:val="18"/>
                <w:szCs w:val="18"/>
              </w:rPr>
            </w:pPr>
            <w:r w:rsidRPr="00B331DE">
              <w:rPr>
                <w:rFonts w:cstheme="minorHAnsi"/>
                <w:sz w:val="18"/>
                <w:szCs w:val="18"/>
              </w:rPr>
              <w:t>Awareness raising of main stakeholders (Business, lawyers, NGO’s, sectoral regulators, state authorities, media, academia) on the amendments to the law of Georgia “On Competition” (at least 3 awareness raising activities).</w:t>
            </w:r>
          </w:p>
          <w:p w14:paraId="064A0E7A" w14:textId="77777777" w:rsidR="00B331DE" w:rsidRPr="00B331DE" w:rsidRDefault="00B331DE" w:rsidP="00B331DE">
            <w:pPr>
              <w:rPr>
                <w:rFonts w:cstheme="minorHAnsi"/>
                <w:sz w:val="18"/>
                <w:szCs w:val="18"/>
              </w:rPr>
            </w:pPr>
          </w:p>
        </w:tc>
        <w:tc>
          <w:tcPr>
            <w:tcW w:w="1476" w:type="dxa"/>
          </w:tcPr>
          <w:p w14:paraId="621A17DD" w14:textId="77777777" w:rsidR="00B331DE" w:rsidRPr="00B331DE" w:rsidRDefault="00B331DE" w:rsidP="00B331DE">
            <w:pPr>
              <w:rPr>
                <w:rFonts w:cstheme="minorHAnsi"/>
                <w:sz w:val="18"/>
                <w:szCs w:val="18"/>
              </w:rPr>
            </w:pPr>
            <w:r w:rsidRPr="00B331DE">
              <w:rPr>
                <w:rFonts w:cstheme="minorHAnsi"/>
                <w:sz w:val="18"/>
                <w:szCs w:val="18"/>
              </w:rPr>
              <w:t xml:space="preserve"> October 2020– February  2021 </w:t>
            </w:r>
          </w:p>
        </w:tc>
        <w:tc>
          <w:tcPr>
            <w:tcW w:w="8817" w:type="dxa"/>
          </w:tcPr>
          <w:p w14:paraId="1E12664F" w14:textId="77777777" w:rsidR="00B331DE" w:rsidRPr="00B331DE" w:rsidRDefault="00B331DE" w:rsidP="00B331DE">
            <w:pPr>
              <w:jc w:val="both"/>
              <w:rPr>
                <w:rFonts w:cstheme="minorHAnsi"/>
                <w:sz w:val="18"/>
                <w:szCs w:val="18"/>
              </w:rPr>
            </w:pPr>
            <w:r w:rsidRPr="00B331DE">
              <w:rPr>
                <w:rFonts w:cstheme="minorHAnsi"/>
                <w:sz w:val="18"/>
                <w:szCs w:val="18"/>
              </w:rPr>
              <w:t>One of the main priorities of the Competition Agency of Georgia is to actively advocate competition policy - to explain to the main stakeholders the benefits of proper and effective Competition Law and Policy enforcement. Amendments to the Law of Georgia “On Competition” was initiated in Parliament in 2019. According to the Amendments, there are expected new functions and enforcement tools aiming at enhancing Competition Policy in Georgia, as well as providing the Competition Agency of Georgia, with the better enforcement tools (it has to be mentioned, that the draft law has already been passed through the second plenary hearing in the Parliament of Georgia).</w:t>
            </w:r>
            <w:r w:rsidRPr="00B331DE">
              <w:rPr>
                <w:rFonts w:ascii="Sylfaen" w:hAnsi="Sylfaen" w:cstheme="minorHAnsi"/>
                <w:sz w:val="18"/>
                <w:szCs w:val="18"/>
              </w:rPr>
              <w:t xml:space="preserve"> </w:t>
            </w:r>
          </w:p>
          <w:p w14:paraId="42EBA331" w14:textId="77777777" w:rsidR="00B331DE" w:rsidRPr="00B331DE" w:rsidRDefault="00B331DE" w:rsidP="00B331DE">
            <w:pPr>
              <w:jc w:val="both"/>
              <w:rPr>
                <w:rFonts w:cstheme="minorHAnsi"/>
                <w:sz w:val="18"/>
                <w:szCs w:val="18"/>
              </w:rPr>
            </w:pPr>
          </w:p>
          <w:p w14:paraId="64E05502" w14:textId="6162542E" w:rsidR="00B331DE" w:rsidRPr="00B331DE" w:rsidRDefault="00B331DE" w:rsidP="00B331DE">
            <w:pPr>
              <w:jc w:val="both"/>
              <w:rPr>
                <w:rFonts w:cstheme="minorHAnsi"/>
                <w:sz w:val="18"/>
                <w:szCs w:val="18"/>
              </w:rPr>
            </w:pPr>
            <w:r w:rsidRPr="00B331DE">
              <w:rPr>
                <w:rFonts w:cstheme="minorHAnsi"/>
                <w:sz w:val="18"/>
                <w:szCs w:val="18"/>
              </w:rPr>
              <w:t xml:space="preserve">We believe that for proper functioning of the amended Competition Policy in Georgia, it is vital, that the main stakeholders to have proper understanding of the novelties introduced by the amendments to the Law of Georgia “on Competition”. In this </w:t>
            </w:r>
            <w:r w:rsidR="00930544" w:rsidRPr="00B331DE">
              <w:rPr>
                <w:rFonts w:cstheme="minorHAnsi"/>
                <w:sz w:val="18"/>
                <w:szCs w:val="18"/>
              </w:rPr>
              <w:t>case,</w:t>
            </w:r>
            <w:r w:rsidRPr="00B331DE">
              <w:rPr>
                <w:rFonts w:cstheme="minorHAnsi"/>
                <w:sz w:val="18"/>
                <w:szCs w:val="18"/>
              </w:rPr>
              <w:t xml:space="preserve"> the awareness raising of main stakeholders (Business, judges, lawyers, NGO’s, sectoral regulators, state authorities, media, academia) on the amendments to the law of Georgia “On Competition” becomes crucial.</w:t>
            </w:r>
          </w:p>
          <w:p w14:paraId="0D2A0F23" w14:textId="77777777" w:rsidR="00B331DE" w:rsidRPr="00B331DE" w:rsidRDefault="00B331DE" w:rsidP="00B331DE">
            <w:pPr>
              <w:jc w:val="both"/>
              <w:rPr>
                <w:rFonts w:cstheme="minorHAnsi"/>
                <w:sz w:val="18"/>
                <w:szCs w:val="18"/>
              </w:rPr>
            </w:pPr>
          </w:p>
          <w:p w14:paraId="21936A4A" w14:textId="77777777" w:rsidR="00B331DE" w:rsidRPr="00B331DE" w:rsidRDefault="00B331DE" w:rsidP="00B331DE">
            <w:pPr>
              <w:jc w:val="both"/>
              <w:rPr>
                <w:rFonts w:ascii="Sylfaen" w:hAnsi="Sylfaen" w:cstheme="minorHAnsi"/>
                <w:sz w:val="18"/>
                <w:szCs w:val="18"/>
              </w:rPr>
            </w:pPr>
            <w:r w:rsidRPr="00B331DE">
              <w:rPr>
                <w:rFonts w:cstheme="minorHAnsi"/>
                <w:sz w:val="18"/>
                <w:szCs w:val="18"/>
              </w:rPr>
              <w:t xml:space="preserve">In addition to the abovementioned, it has to be highlighted that In the framework of the Anti-Corruption Strategy and Action Plan 2019-2020 (Approved by the Ordinance of the Government of Georgia N484 of October 4, 2019), Competition Agency of Georgia is obliged to improve mechanisms for identifying anti-competitive risks through awareness raising. For this purpose, the Competition Agency of Georgia has to elaborate a course on Competition Law and Anti-Competitive risks and conduct relevant training for the representatives of the private sector. Accordingly, </w:t>
            </w:r>
            <w:r w:rsidRPr="00B331DE">
              <w:rPr>
                <w:rFonts w:cstheme="minorHAnsi"/>
                <w:sz w:val="18"/>
                <w:szCs w:val="18"/>
              </w:rPr>
              <w:lastRenderedPageBreak/>
              <w:t xml:space="preserve">Awareness raising activities financed by the AA facility would greatly contribute Competition Agency of Georgia to fulfil its obligations from the Anti-Corruption Strategy and Action Plan 2019-2020. </w:t>
            </w:r>
          </w:p>
          <w:p w14:paraId="2F6151AE" w14:textId="77777777" w:rsidR="00B331DE" w:rsidRPr="00B331DE" w:rsidRDefault="00B331DE" w:rsidP="00B331DE">
            <w:pPr>
              <w:jc w:val="both"/>
              <w:rPr>
                <w:rFonts w:cstheme="minorHAnsi"/>
                <w:sz w:val="18"/>
                <w:szCs w:val="18"/>
              </w:rPr>
            </w:pPr>
          </w:p>
          <w:p w14:paraId="43874DE9" w14:textId="77777777" w:rsidR="00B331DE" w:rsidRPr="00B331DE" w:rsidRDefault="00B331DE" w:rsidP="00B331DE">
            <w:pPr>
              <w:jc w:val="both"/>
              <w:rPr>
                <w:rFonts w:cstheme="minorHAnsi"/>
                <w:sz w:val="18"/>
                <w:szCs w:val="18"/>
              </w:rPr>
            </w:pPr>
            <w:r w:rsidRPr="00B331DE">
              <w:rPr>
                <w:rFonts w:cstheme="minorHAnsi"/>
                <w:sz w:val="18"/>
                <w:szCs w:val="18"/>
              </w:rPr>
              <w:t xml:space="preserve">In total, there will be held at least 3 awareness raising activities, during which, there will be thoroughly explained the amendment to the Law of Georgia “On Competition”. </w:t>
            </w:r>
          </w:p>
          <w:p w14:paraId="38C4CB59" w14:textId="77777777" w:rsidR="00B331DE" w:rsidRPr="00B331DE" w:rsidRDefault="00B331DE" w:rsidP="00B331DE">
            <w:pPr>
              <w:jc w:val="both"/>
              <w:rPr>
                <w:rFonts w:cstheme="minorHAnsi"/>
                <w:sz w:val="18"/>
                <w:szCs w:val="18"/>
              </w:rPr>
            </w:pPr>
          </w:p>
        </w:tc>
      </w:tr>
      <w:tr w:rsidR="00B331DE" w:rsidRPr="00B331DE" w14:paraId="3F98BC8B" w14:textId="77777777" w:rsidTr="006874AA">
        <w:trPr>
          <w:trHeight w:val="573"/>
        </w:trPr>
        <w:tc>
          <w:tcPr>
            <w:tcW w:w="353" w:type="dxa"/>
          </w:tcPr>
          <w:p w14:paraId="24986502" w14:textId="77777777" w:rsidR="00B331DE" w:rsidRPr="00B331DE" w:rsidRDefault="00B331DE" w:rsidP="00B331DE">
            <w:pPr>
              <w:numPr>
                <w:ilvl w:val="0"/>
                <w:numId w:val="11"/>
              </w:numPr>
              <w:contextualSpacing/>
              <w:jc w:val="center"/>
              <w:rPr>
                <w:rFonts w:cstheme="minorHAnsi"/>
                <w:sz w:val="18"/>
                <w:szCs w:val="18"/>
                <w:lang w:val="ka-GE"/>
              </w:rPr>
            </w:pPr>
          </w:p>
        </w:tc>
        <w:tc>
          <w:tcPr>
            <w:tcW w:w="3304" w:type="dxa"/>
          </w:tcPr>
          <w:p w14:paraId="0567C4B0" w14:textId="77777777" w:rsidR="00B331DE" w:rsidRPr="00B331DE" w:rsidRDefault="00B331DE" w:rsidP="00B331DE">
            <w:pPr>
              <w:jc w:val="both"/>
              <w:rPr>
                <w:rFonts w:cstheme="minorHAnsi"/>
                <w:sz w:val="18"/>
                <w:szCs w:val="18"/>
              </w:rPr>
            </w:pPr>
            <w:r w:rsidRPr="00B331DE">
              <w:rPr>
                <w:rFonts w:cstheme="minorHAnsi"/>
                <w:sz w:val="18"/>
                <w:szCs w:val="18"/>
              </w:rPr>
              <w:t>Capacity building of the Staff of the Competition Agency of Georgia on the Anti-Dumping Measure in Trade”.</w:t>
            </w:r>
          </w:p>
        </w:tc>
        <w:tc>
          <w:tcPr>
            <w:tcW w:w="1476" w:type="dxa"/>
          </w:tcPr>
          <w:p w14:paraId="78F147EF" w14:textId="799D460D" w:rsidR="00B331DE" w:rsidRPr="00B331DE" w:rsidRDefault="00B331DE" w:rsidP="00400407">
            <w:pPr>
              <w:rPr>
                <w:rFonts w:cstheme="minorHAnsi"/>
                <w:sz w:val="18"/>
                <w:szCs w:val="18"/>
              </w:rPr>
            </w:pPr>
            <w:r w:rsidRPr="00B331DE">
              <w:rPr>
                <w:rFonts w:cstheme="minorHAnsi"/>
                <w:sz w:val="18"/>
                <w:szCs w:val="18"/>
              </w:rPr>
              <w:t xml:space="preserve">January– March 2021 </w:t>
            </w:r>
          </w:p>
        </w:tc>
        <w:tc>
          <w:tcPr>
            <w:tcW w:w="8817" w:type="dxa"/>
          </w:tcPr>
          <w:p w14:paraId="5B619E46" w14:textId="77777777" w:rsidR="00B331DE" w:rsidRPr="00B331DE" w:rsidRDefault="00B331DE" w:rsidP="00B331DE">
            <w:pPr>
              <w:widowControl w:val="0"/>
              <w:autoSpaceDE w:val="0"/>
              <w:autoSpaceDN w:val="0"/>
              <w:adjustRightInd w:val="0"/>
              <w:contextualSpacing/>
              <w:jc w:val="both"/>
              <w:rPr>
                <w:rFonts w:cstheme="minorHAnsi"/>
                <w:sz w:val="18"/>
                <w:szCs w:val="18"/>
              </w:rPr>
            </w:pPr>
            <w:r w:rsidRPr="00B331DE">
              <w:rPr>
                <w:rFonts w:cstheme="minorHAnsi"/>
                <w:sz w:val="18"/>
                <w:szCs w:val="18"/>
              </w:rPr>
              <w:t>In July 2020, the Parliament of Georgia has adopted the Law of Georgia “On the Introduction of the Anti-Dumping Measure in Trade”.</w:t>
            </w:r>
            <w:r w:rsidRPr="00B331DE">
              <w:rPr>
                <w:rFonts w:cstheme="minorHAnsi"/>
                <w:sz w:val="18"/>
                <w:szCs w:val="18"/>
                <w:lang w:val="ka-GE"/>
              </w:rPr>
              <w:t xml:space="preserve"> </w:t>
            </w:r>
            <w:r w:rsidRPr="00B331DE">
              <w:rPr>
                <w:rFonts w:cstheme="minorHAnsi"/>
                <w:sz w:val="18"/>
                <w:szCs w:val="18"/>
              </w:rPr>
              <w:t>New law will enter into force on January</w:t>
            </w:r>
            <w:r w:rsidRPr="00B331DE">
              <w:rPr>
                <w:rFonts w:cstheme="minorHAnsi"/>
                <w:sz w:val="18"/>
                <w:szCs w:val="18"/>
                <w:lang w:val="ka-GE"/>
              </w:rPr>
              <w:t xml:space="preserve"> 1</w:t>
            </w:r>
            <w:r w:rsidRPr="00B331DE">
              <w:rPr>
                <w:rFonts w:cstheme="minorHAnsi"/>
                <w:sz w:val="18"/>
                <w:szCs w:val="18"/>
              </w:rPr>
              <w:t xml:space="preserve">, 2021. The objective of the law is to protect the domestic industry from the injurious dumped imports on the customs territory of Georgia. It </w:t>
            </w:r>
            <w:proofErr w:type="gramStart"/>
            <w:r w:rsidRPr="00B331DE">
              <w:rPr>
                <w:rFonts w:cstheme="minorHAnsi"/>
                <w:sz w:val="18"/>
                <w:szCs w:val="18"/>
              </w:rPr>
              <w:t>has to</w:t>
            </w:r>
            <w:proofErr w:type="gramEnd"/>
            <w:r w:rsidRPr="00B331DE">
              <w:rPr>
                <w:rFonts w:cstheme="minorHAnsi"/>
                <w:sz w:val="18"/>
                <w:szCs w:val="18"/>
              </w:rPr>
              <w:t xml:space="preserve"> be mentioned, that despite the fact that Georgia has been a member of the WTO since 14 June 2000, this is a first time that the Country has adopted a law on Anti-Dumping.</w:t>
            </w:r>
          </w:p>
          <w:p w14:paraId="4B01C669" w14:textId="77777777" w:rsidR="00B331DE" w:rsidRPr="00B331DE" w:rsidRDefault="00B331DE" w:rsidP="00B331DE">
            <w:pPr>
              <w:widowControl w:val="0"/>
              <w:autoSpaceDE w:val="0"/>
              <w:autoSpaceDN w:val="0"/>
              <w:adjustRightInd w:val="0"/>
              <w:contextualSpacing/>
              <w:jc w:val="both"/>
              <w:rPr>
                <w:rFonts w:cstheme="minorHAnsi"/>
                <w:sz w:val="18"/>
                <w:szCs w:val="18"/>
              </w:rPr>
            </w:pPr>
          </w:p>
          <w:p w14:paraId="1E2581F6" w14:textId="77777777" w:rsidR="00B331DE" w:rsidRPr="00B331DE" w:rsidRDefault="00B331DE" w:rsidP="00B331DE">
            <w:pPr>
              <w:widowControl w:val="0"/>
              <w:autoSpaceDE w:val="0"/>
              <w:autoSpaceDN w:val="0"/>
              <w:adjustRightInd w:val="0"/>
              <w:contextualSpacing/>
              <w:jc w:val="both"/>
              <w:rPr>
                <w:rFonts w:cstheme="minorHAnsi"/>
                <w:sz w:val="18"/>
                <w:szCs w:val="18"/>
              </w:rPr>
            </w:pPr>
            <w:r w:rsidRPr="00B331DE">
              <w:rPr>
                <w:rFonts w:cstheme="minorHAnsi"/>
                <w:sz w:val="18"/>
                <w:szCs w:val="18"/>
              </w:rPr>
              <w:t xml:space="preserve">It also </w:t>
            </w:r>
            <w:proofErr w:type="gramStart"/>
            <w:r w:rsidRPr="00B331DE">
              <w:rPr>
                <w:rFonts w:cstheme="minorHAnsi"/>
                <w:sz w:val="18"/>
                <w:szCs w:val="18"/>
              </w:rPr>
              <w:t>has to</w:t>
            </w:r>
            <w:proofErr w:type="gramEnd"/>
            <w:r w:rsidRPr="00B331DE">
              <w:rPr>
                <w:rFonts w:cstheme="minorHAnsi"/>
                <w:sz w:val="18"/>
                <w:szCs w:val="18"/>
              </w:rPr>
              <w:t xml:space="preserve"> be highlighted that for the purpose of the Anti-Dumping Law, investigation shall be conducted by the Competition Agency of Georgia. Since, the mentioned law is new for the Country, as well as for the Agency, there is neither proper theoretical, nor practical knowledge in the Agency, which would facilitate the proper enforcement of the Anti-Dumping Law.</w:t>
            </w:r>
          </w:p>
          <w:p w14:paraId="1FF78FB6" w14:textId="77777777" w:rsidR="00B331DE" w:rsidRPr="00B331DE" w:rsidRDefault="00B331DE" w:rsidP="00B331DE">
            <w:pPr>
              <w:widowControl w:val="0"/>
              <w:autoSpaceDE w:val="0"/>
              <w:autoSpaceDN w:val="0"/>
              <w:adjustRightInd w:val="0"/>
              <w:contextualSpacing/>
              <w:jc w:val="both"/>
              <w:rPr>
                <w:rFonts w:cstheme="minorHAnsi"/>
                <w:sz w:val="18"/>
                <w:szCs w:val="18"/>
              </w:rPr>
            </w:pPr>
          </w:p>
          <w:p w14:paraId="77510EAF" w14:textId="77777777" w:rsidR="00B331DE" w:rsidRPr="00B331DE" w:rsidRDefault="00B331DE" w:rsidP="00B331DE">
            <w:pPr>
              <w:widowControl w:val="0"/>
              <w:autoSpaceDE w:val="0"/>
              <w:autoSpaceDN w:val="0"/>
              <w:adjustRightInd w:val="0"/>
              <w:contextualSpacing/>
              <w:jc w:val="both"/>
              <w:rPr>
                <w:rFonts w:cstheme="minorHAnsi"/>
                <w:sz w:val="18"/>
                <w:szCs w:val="18"/>
              </w:rPr>
            </w:pPr>
            <w:r w:rsidRPr="00B331DE">
              <w:rPr>
                <w:rFonts w:cstheme="minorHAnsi"/>
                <w:sz w:val="18"/>
                <w:szCs w:val="18"/>
              </w:rPr>
              <w:t xml:space="preserve">For the proper enforcement of the Anti-Dumping Law, it is important to build capacity of the staff of the Competition Agency, through training, during which the important topics related to the proper enforcement of the anti-dumping law will be discussed. </w:t>
            </w:r>
          </w:p>
          <w:p w14:paraId="7BAD3A0B" w14:textId="77777777" w:rsidR="00B331DE" w:rsidRPr="00B331DE" w:rsidRDefault="00B331DE" w:rsidP="00B331DE">
            <w:pPr>
              <w:widowControl w:val="0"/>
              <w:autoSpaceDE w:val="0"/>
              <w:autoSpaceDN w:val="0"/>
              <w:adjustRightInd w:val="0"/>
              <w:contextualSpacing/>
              <w:jc w:val="both"/>
              <w:rPr>
                <w:rFonts w:cstheme="minorHAnsi"/>
                <w:sz w:val="18"/>
                <w:szCs w:val="18"/>
              </w:rPr>
            </w:pPr>
          </w:p>
        </w:tc>
      </w:tr>
      <w:tr w:rsidR="00B331DE" w:rsidRPr="00B331DE" w14:paraId="6342D56B" w14:textId="77777777" w:rsidTr="006874AA">
        <w:trPr>
          <w:trHeight w:val="573"/>
        </w:trPr>
        <w:tc>
          <w:tcPr>
            <w:tcW w:w="353" w:type="dxa"/>
          </w:tcPr>
          <w:p w14:paraId="618606C6" w14:textId="77777777" w:rsidR="00B331DE" w:rsidRPr="00B331DE" w:rsidRDefault="00B331DE" w:rsidP="00B331DE">
            <w:pPr>
              <w:numPr>
                <w:ilvl w:val="0"/>
                <w:numId w:val="11"/>
              </w:numPr>
              <w:contextualSpacing/>
              <w:jc w:val="center"/>
              <w:rPr>
                <w:rFonts w:cstheme="minorHAnsi"/>
                <w:sz w:val="18"/>
                <w:szCs w:val="18"/>
                <w:lang w:val="ka-GE"/>
              </w:rPr>
            </w:pPr>
          </w:p>
        </w:tc>
        <w:tc>
          <w:tcPr>
            <w:tcW w:w="3304" w:type="dxa"/>
          </w:tcPr>
          <w:p w14:paraId="6DBEB172" w14:textId="77777777" w:rsidR="00B331DE" w:rsidRPr="00B331DE" w:rsidRDefault="00B331DE" w:rsidP="00B331DE">
            <w:pPr>
              <w:jc w:val="both"/>
              <w:rPr>
                <w:rFonts w:cstheme="minorHAnsi"/>
                <w:sz w:val="18"/>
                <w:szCs w:val="18"/>
              </w:rPr>
            </w:pPr>
            <w:r w:rsidRPr="00B331DE">
              <w:rPr>
                <w:rFonts w:cstheme="minorHAnsi"/>
                <w:sz w:val="18"/>
                <w:szCs w:val="18"/>
              </w:rPr>
              <w:t>Awareness raising of main stakeholders (Business, judges, lawyers, NGO’s, state authorities, media, academia) on the Law of  Georgia “On the Introduction of the Anti-Dumping Measure in Trade” (at least 2 awareness raising activities).</w:t>
            </w:r>
          </w:p>
          <w:p w14:paraId="47AA423F" w14:textId="77777777" w:rsidR="00B331DE" w:rsidRPr="00B331DE" w:rsidRDefault="00B331DE" w:rsidP="00B331DE">
            <w:pPr>
              <w:rPr>
                <w:rFonts w:cstheme="minorHAnsi"/>
                <w:sz w:val="18"/>
                <w:szCs w:val="18"/>
              </w:rPr>
            </w:pPr>
          </w:p>
        </w:tc>
        <w:tc>
          <w:tcPr>
            <w:tcW w:w="1476" w:type="dxa"/>
          </w:tcPr>
          <w:p w14:paraId="69BC5103" w14:textId="1745C2E5" w:rsidR="00B331DE" w:rsidRPr="00B331DE" w:rsidRDefault="00B331DE" w:rsidP="00400407">
            <w:pPr>
              <w:rPr>
                <w:rFonts w:cstheme="minorHAnsi"/>
                <w:sz w:val="18"/>
                <w:szCs w:val="18"/>
              </w:rPr>
            </w:pPr>
            <w:r w:rsidRPr="00B331DE">
              <w:rPr>
                <w:rFonts w:cstheme="minorHAnsi"/>
                <w:sz w:val="18"/>
                <w:szCs w:val="18"/>
              </w:rPr>
              <w:t xml:space="preserve">January– March 2021 </w:t>
            </w:r>
          </w:p>
        </w:tc>
        <w:tc>
          <w:tcPr>
            <w:tcW w:w="8817" w:type="dxa"/>
          </w:tcPr>
          <w:p w14:paraId="787CD008" w14:textId="77777777" w:rsidR="00B331DE" w:rsidRPr="00B331DE" w:rsidRDefault="00B331DE" w:rsidP="00B331DE">
            <w:pPr>
              <w:widowControl w:val="0"/>
              <w:autoSpaceDE w:val="0"/>
              <w:autoSpaceDN w:val="0"/>
              <w:adjustRightInd w:val="0"/>
              <w:contextualSpacing/>
              <w:jc w:val="both"/>
              <w:rPr>
                <w:rFonts w:cstheme="minorHAnsi"/>
                <w:sz w:val="18"/>
                <w:szCs w:val="18"/>
              </w:rPr>
            </w:pPr>
            <w:r w:rsidRPr="00B331DE">
              <w:rPr>
                <w:rFonts w:cstheme="minorHAnsi"/>
                <w:sz w:val="18"/>
                <w:szCs w:val="18"/>
              </w:rPr>
              <w:t>As it was already mentioned, Law of Georgia “On the Introduction of the Anti-Dumping Measure in Trade” has been adopted. As Anti-Dumping is a new field for Georgia and there is no common understanding on the related issues, advocacy of the mentioned topic is crucial.</w:t>
            </w:r>
          </w:p>
          <w:p w14:paraId="6745AAFB" w14:textId="77777777" w:rsidR="00B331DE" w:rsidRPr="00B331DE" w:rsidRDefault="00B331DE" w:rsidP="00B331DE">
            <w:pPr>
              <w:rPr>
                <w:rFonts w:cstheme="minorHAnsi"/>
                <w:sz w:val="18"/>
                <w:szCs w:val="18"/>
              </w:rPr>
            </w:pPr>
          </w:p>
          <w:p w14:paraId="76BD448F" w14:textId="77777777" w:rsidR="00B331DE" w:rsidRPr="00B331DE" w:rsidRDefault="00B331DE" w:rsidP="00B331DE">
            <w:pPr>
              <w:jc w:val="both"/>
              <w:rPr>
                <w:rFonts w:cstheme="minorHAnsi"/>
                <w:sz w:val="18"/>
                <w:szCs w:val="18"/>
              </w:rPr>
            </w:pPr>
            <w:r w:rsidRPr="00B331DE">
              <w:rPr>
                <w:rFonts w:cstheme="minorHAnsi"/>
                <w:sz w:val="18"/>
                <w:szCs w:val="18"/>
              </w:rPr>
              <w:t>We believe that for proper functioning of the Anti-dumping Policy in Georgia, it is vital, that the main stakeholders (Business, judges, lawyers, NGO’s, state authorities, media, academia) to have proper understanding of the new law (aim of the law, how to file an application, procedures, function of the Competition Agency of Georgia, etc.).</w:t>
            </w:r>
          </w:p>
          <w:p w14:paraId="55FC18EF" w14:textId="77777777" w:rsidR="00B331DE" w:rsidRPr="00B331DE" w:rsidRDefault="00B331DE" w:rsidP="00B331DE">
            <w:pPr>
              <w:jc w:val="both"/>
              <w:rPr>
                <w:rFonts w:cstheme="minorHAnsi"/>
                <w:sz w:val="18"/>
                <w:szCs w:val="18"/>
              </w:rPr>
            </w:pPr>
          </w:p>
          <w:p w14:paraId="435573BF" w14:textId="77777777" w:rsidR="00B331DE" w:rsidRPr="00B331DE" w:rsidRDefault="00B331DE" w:rsidP="00B331DE">
            <w:pPr>
              <w:jc w:val="both"/>
              <w:rPr>
                <w:rFonts w:cstheme="minorHAnsi"/>
                <w:sz w:val="18"/>
                <w:szCs w:val="18"/>
              </w:rPr>
            </w:pPr>
            <w:r w:rsidRPr="00B331DE">
              <w:rPr>
                <w:rFonts w:cstheme="minorHAnsi"/>
                <w:sz w:val="18"/>
                <w:szCs w:val="18"/>
              </w:rPr>
              <w:t xml:space="preserve">In total, there will be held at least 2 awareness raising activities, during which, there will be explained the above-mentioned topics to the main stakeholders. </w:t>
            </w:r>
          </w:p>
          <w:p w14:paraId="404647F2" w14:textId="77777777" w:rsidR="00B331DE" w:rsidRPr="00B331DE" w:rsidRDefault="00B331DE" w:rsidP="00B331DE">
            <w:pPr>
              <w:rPr>
                <w:rFonts w:cstheme="minorHAnsi"/>
                <w:sz w:val="18"/>
                <w:szCs w:val="18"/>
              </w:rPr>
            </w:pPr>
          </w:p>
        </w:tc>
      </w:tr>
      <w:tr w:rsidR="000C5C00" w:rsidRPr="00B331DE" w14:paraId="1A92AC91" w14:textId="77777777" w:rsidTr="000C5C00">
        <w:trPr>
          <w:trHeight w:val="296"/>
        </w:trPr>
        <w:tc>
          <w:tcPr>
            <w:tcW w:w="13950" w:type="dxa"/>
            <w:gridSpan w:val="4"/>
            <w:shd w:val="clear" w:color="auto" w:fill="FFFF00"/>
          </w:tcPr>
          <w:p w14:paraId="01D9C622" w14:textId="4E97F32A" w:rsidR="000C5C00" w:rsidRPr="000C5C00" w:rsidRDefault="000C5C00" w:rsidP="00B331DE">
            <w:pPr>
              <w:widowControl w:val="0"/>
              <w:autoSpaceDE w:val="0"/>
              <w:autoSpaceDN w:val="0"/>
              <w:adjustRightInd w:val="0"/>
              <w:contextualSpacing/>
              <w:jc w:val="both"/>
              <w:rPr>
                <w:rFonts w:cstheme="minorHAnsi"/>
                <w:sz w:val="18"/>
                <w:szCs w:val="18"/>
              </w:rPr>
            </w:pPr>
            <w:r>
              <w:rPr>
                <w:rFonts w:cstheme="minorHAnsi"/>
                <w:sz w:val="18"/>
                <w:szCs w:val="18"/>
              </w:rPr>
              <w:t>State Procurement Agency</w:t>
            </w:r>
          </w:p>
        </w:tc>
      </w:tr>
      <w:tr w:rsidR="000C5C00" w:rsidRPr="00B331DE" w14:paraId="7371CD6E" w14:textId="77777777" w:rsidTr="00145008">
        <w:trPr>
          <w:trHeight w:val="573"/>
        </w:trPr>
        <w:tc>
          <w:tcPr>
            <w:tcW w:w="353" w:type="dxa"/>
            <w:shd w:val="clear" w:color="auto" w:fill="B4C6E7" w:themeFill="accent5" w:themeFillTint="66"/>
          </w:tcPr>
          <w:p w14:paraId="0E4BE1E5" w14:textId="59F127F7" w:rsidR="000C5C00" w:rsidRPr="000C5C00" w:rsidRDefault="000C5C00" w:rsidP="000C5C00">
            <w:pPr>
              <w:ind w:left="90"/>
              <w:jc w:val="center"/>
              <w:rPr>
                <w:rFonts w:cstheme="minorHAnsi"/>
                <w:sz w:val="18"/>
                <w:szCs w:val="18"/>
              </w:rPr>
            </w:pPr>
          </w:p>
        </w:tc>
        <w:tc>
          <w:tcPr>
            <w:tcW w:w="3304" w:type="dxa"/>
            <w:shd w:val="clear" w:color="auto" w:fill="B4C6E7" w:themeFill="accent5" w:themeFillTint="66"/>
          </w:tcPr>
          <w:p w14:paraId="1025D9DF" w14:textId="452DDAD7" w:rsidR="000C5C00" w:rsidRPr="00B331DE" w:rsidRDefault="000C5C00" w:rsidP="000C5C00">
            <w:pPr>
              <w:jc w:val="both"/>
              <w:rPr>
                <w:rFonts w:cstheme="minorHAnsi"/>
                <w:sz w:val="18"/>
                <w:szCs w:val="18"/>
              </w:rPr>
            </w:pPr>
            <w:r w:rsidRPr="00B331DE">
              <w:rPr>
                <w:rFonts w:cstheme="minorHAnsi"/>
                <w:sz w:val="18"/>
                <w:szCs w:val="18"/>
              </w:rPr>
              <w:t>Activity</w:t>
            </w:r>
          </w:p>
        </w:tc>
        <w:tc>
          <w:tcPr>
            <w:tcW w:w="1476" w:type="dxa"/>
            <w:shd w:val="clear" w:color="auto" w:fill="B4C6E7" w:themeFill="accent5" w:themeFillTint="66"/>
          </w:tcPr>
          <w:p w14:paraId="7D7E1BC5" w14:textId="77777777" w:rsidR="000C5C00" w:rsidRPr="00B331DE" w:rsidRDefault="000C5C00" w:rsidP="000C5C00">
            <w:pPr>
              <w:rPr>
                <w:rFonts w:cstheme="minorHAnsi"/>
                <w:sz w:val="18"/>
                <w:szCs w:val="18"/>
              </w:rPr>
            </w:pPr>
            <w:r w:rsidRPr="00B331DE">
              <w:rPr>
                <w:rFonts w:cstheme="minorHAnsi"/>
                <w:sz w:val="18"/>
                <w:szCs w:val="18"/>
              </w:rPr>
              <w:t>Dates of implementation</w:t>
            </w:r>
          </w:p>
          <w:p w14:paraId="17240506" w14:textId="69FC55AA" w:rsidR="000C5C00" w:rsidRPr="00B331DE" w:rsidRDefault="000C5C00" w:rsidP="000C5C00">
            <w:pPr>
              <w:rPr>
                <w:rFonts w:cstheme="minorHAnsi"/>
                <w:sz w:val="18"/>
                <w:szCs w:val="18"/>
              </w:rPr>
            </w:pPr>
            <w:r w:rsidRPr="00B331DE">
              <w:rPr>
                <w:rFonts w:cstheme="minorHAnsi"/>
                <w:sz w:val="18"/>
                <w:szCs w:val="18"/>
              </w:rPr>
              <w:t xml:space="preserve">(2020-2021) </w:t>
            </w:r>
          </w:p>
        </w:tc>
        <w:tc>
          <w:tcPr>
            <w:tcW w:w="8817" w:type="dxa"/>
            <w:shd w:val="clear" w:color="auto" w:fill="B4C6E7" w:themeFill="accent5" w:themeFillTint="66"/>
          </w:tcPr>
          <w:p w14:paraId="1AD3631C" w14:textId="77777777" w:rsidR="000C5C00" w:rsidRPr="00B331DE" w:rsidRDefault="000C5C00" w:rsidP="000C5C00">
            <w:pPr>
              <w:rPr>
                <w:rFonts w:cstheme="minorHAnsi"/>
                <w:sz w:val="18"/>
                <w:szCs w:val="18"/>
              </w:rPr>
            </w:pPr>
            <w:r w:rsidRPr="00B331DE">
              <w:rPr>
                <w:rFonts w:cstheme="minorHAnsi"/>
                <w:sz w:val="18"/>
                <w:szCs w:val="18"/>
              </w:rPr>
              <w:t>Comment/Justification/</w:t>
            </w:r>
          </w:p>
          <w:p w14:paraId="5BE175D2" w14:textId="3A8DF7C6" w:rsidR="000C5C00" w:rsidRPr="00B331DE" w:rsidRDefault="000C5C00" w:rsidP="000C5C00">
            <w:pPr>
              <w:widowControl w:val="0"/>
              <w:autoSpaceDE w:val="0"/>
              <w:autoSpaceDN w:val="0"/>
              <w:adjustRightInd w:val="0"/>
              <w:contextualSpacing/>
              <w:jc w:val="both"/>
              <w:rPr>
                <w:rFonts w:cstheme="minorHAnsi"/>
                <w:sz w:val="18"/>
                <w:szCs w:val="18"/>
              </w:rPr>
            </w:pPr>
            <w:r w:rsidRPr="00B331DE">
              <w:rPr>
                <w:rFonts w:cstheme="minorHAnsi"/>
                <w:sz w:val="18"/>
                <w:szCs w:val="18"/>
              </w:rPr>
              <w:t>Baseline</w:t>
            </w:r>
          </w:p>
        </w:tc>
      </w:tr>
      <w:tr w:rsidR="000C5C00" w:rsidRPr="00B331DE" w14:paraId="56417AA0" w14:textId="77777777" w:rsidTr="000C5C00">
        <w:trPr>
          <w:trHeight w:val="573"/>
        </w:trPr>
        <w:tc>
          <w:tcPr>
            <w:tcW w:w="353" w:type="dxa"/>
          </w:tcPr>
          <w:p w14:paraId="6F7FFD12" w14:textId="709EDFEF" w:rsidR="000C5C00" w:rsidRPr="000C5C00" w:rsidRDefault="000C5C00" w:rsidP="000C5C00">
            <w:pPr>
              <w:pStyle w:val="ListParagraph"/>
              <w:numPr>
                <w:ilvl w:val="0"/>
                <w:numId w:val="13"/>
              </w:numPr>
              <w:jc w:val="center"/>
              <w:rPr>
                <w:rFonts w:cstheme="minorHAnsi"/>
                <w:sz w:val="18"/>
                <w:szCs w:val="18"/>
              </w:rPr>
            </w:pPr>
          </w:p>
        </w:tc>
        <w:tc>
          <w:tcPr>
            <w:tcW w:w="3304" w:type="dxa"/>
            <w:shd w:val="clear" w:color="auto" w:fill="FFFFFF" w:themeFill="background1"/>
          </w:tcPr>
          <w:p w14:paraId="13EC19CF" w14:textId="77777777" w:rsidR="000C5C00" w:rsidRDefault="00FF7E4B" w:rsidP="000C5C00">
            <w:pPr>
              <w:jc w:val="both"/>
              <w:rPr>
                <w:rFonts w:cstheme="minorHAnsi"/>
                <w:sz w:val="18"/>
                <w:szCs w:val="18"/>
              </w:rPr>
            </w:pPr>
            <w:r>
              <w:rPr>
                <w:rFonts w:cstheme="minorHAnsi"/>
                <w:sz w:val="18"/>
                <w:szCs w:val="18"/>
              </w:rPr>
              <w:t>RIA on introducing Utilities chapter in the Public Procurement Law</w:t>
            </w:r>
          </w:p>
          <w:p w14:paraId="2BE64692" w14:textId="77777777" w:rsidR="00B91C61" w:rsidRDefault="00B91C61" w:rsidP="000C5C00">
            <w:pPr>
              <w:jc w:val="both"/>
              <w:rPr>
                <w:rFonts w:cstheme="minorHAnsi"/>
                <w:sz w:val="18"/>
                <w:szCs w:val="18"/>
              </w:rPr>
            </w:pPr>
          </w:p>
          <w:p w14:paraId="607B4890" w14:textId="77777777" w:rsidR="00B91C61" w:rsidRDefault="00B91C61" w:rsidP="000C5C00">
            <w:pPr>
              <w:jc w:val="both"/>
              <w:rPr>
                <w:rFonts w:cstheme="minorHAnsi"/>
                <w:sz w:val="18"/>
                <w:szCs w:val="18"/>
              </w:rPr>
            </w:pPr>
          </w:p>
          <w:p w14:paraId="1C1C844B" w14:textId="5CA27BFC" w:rsidR="00B91C61" w:rsidRPr="00B331DE" w:rsidRDefault="00B91C61" w:rsidP="000C5C00">
            <w:pPr>
              <w:jc w:val="both"/>
              <w:rPr>
                <w:rFonts w:cstheme="minorHAnsi"/>
                <w:sz w:val="18"/>
                <w:szCs w:val="18"/>
              </w:rPr>
            </w:pPr>
          </w:p>
        </w:tc>
        <w:tc>
          <w:tcPr>
            <w:tcW w:w="1476" w:type="dxa"/>
            <w:shd w:val="clear" w:color="auto" w:fill="FFFFFF" w:themeFill="background1"/>
          </w:tcPr>
          <w:p w14:paraId="0D0BE254" w14:textId="40D693C5" w:rsidR="000C5C00" w:rsidRPr="00B331DE" w:rsidRDefault="00FF7E4B" w:rsidP="000C5C00">
            <w:pPr>
              <w:rPr>
                <w:rFonts w:cstheme="minorHAnsi"/>
                <w:sz w:val="18"/>
                <w:szCs w:val="18"/>
              </w:rPr>
            </w:pPr>
            <w:r>
              <w:rPr>
                <w:rFonts w:cstheme="minorHAnsi"/>
                <w:sz w:val="18"/>
                <w:szCs w:val="18"/>
              </w:rPr>
              <w:t>October 2020 – March 2021</w:t>
            </w:r>
          </w:p>
        </w:tc>
        <w:tc>
          <w:tcPr>
            <w:tcW w:w="8817" w:type="dxa"/>
            <w:shd w:val="clear" w:color="auto" w:fill="FFFFFF" w:themeFill="background1"/>
          </w:tcPr>
          <w:p w14:paraId="1BF66305" w14:textId="1F407282" w:rsidR="000C5C00" w:rsidRPr="00B331DE" w:rsidRDefault="00FF7E4B" w:rsidP="00FF7E4B">
            <w:pPr>
              <w:rPr>
                <w:rFonts w:cstheme="minorHAnsi"/>
                <w:sz w:val="18"/>
                <w:szCs w:val="18"/>
              </w:rPr>
            </w:pPr>
            <w:r>
              <w:rPr>
                <w:rFonts w:cstheme="minorHAnsi"/>
                <w:sz w:val="18"/>
                <w:szCs w:val="18"/>
              </w:rPr>
              <w:t xml:space="preserve">State Procurement Agency has elaborated new draft Public Procurement Law, which reflects all obligations under the AA-DCFTA. According to the DCFTA obligation, approximation with EU public procurement legislation envisages introduction </w:t>
            </w:r>
            <w:r w:rsidR="00442B31">
              <w:rPr>
                <w:rFonts w:cstheme="minorHAnsi"/>
                <w:sz w:val="18"/>
                <w:szCs w:val="18"/>
              </w:rPr>
              <w:t xml:space="preserve">of </w:t>
            </w:r>
            <w:r>
              <w:rPr>
                <w:rFonts w:cstheme="minorHAnsi"/>
                <w:sz w:val="18"/>
                <w:szCs w:val="18"/>
              </w:rPr>
              <w:t xml:space="preserve">utility sector regulations under the </w:t>
            </w:r>
            <w:r>
              <w:rPr>
                <w:bCs/>
                <w:color w:val="000000"/>
                <w:sz w:val="18"/>
                <w:szCs w:val="18"/>
                <w:shd w:val="clear" w:color="auto" w:fill="FFFFFF"/>
              </w:rPr>
              <w:t>directive</w:t>
            </w:r>
            <w:r w:rsidRPr="00FF7E4B">
              <w:rPr>
                <w:bCs/>
                <w:color w:val="000000"/>
                <w:sz w:val="18"/>
                <w:szCs w:val="18"/>
                <w:shd w:val="clear" w:color="auto" w:fill="FFFFFF"/>
              </w:rPr>
              <w:t xml:space="preserve"> 2014/25/EU</w:t>
            </w:r>
            <w:r>
              <w:rPr>
                <w:rFonts w:cstheme="minorHAnsi"/>
                <w:sz w:val="18"/>
                <w:szCs w:val="18"/>
              </w:rPr>
              <w:t>. By introducing new regulations in utility sector</w:t>
            </w:r>
            <w:r w:rsidR="00442B31">
              <w:rPr>
                <w:rFonts w:cstheme="minorHAnsi"/>
                <w:sz w:val="18"/>
                <w:szCs w:val="18"/>
              </w:rPr>
              <w:t xml:space="preserve"> above EU thresholds</w:t>
            </w:r>
            <w:r>
              <w:rPr>
                <w:rFonts w:cstheme="minorHAnsi"/>
                <w:sz w:val="18"/>
                <w:szCs w:val="18"/>
              </w:rPr>
              <w:t xml:space="preserve">, </w:t>
            </w:r>
            <w:r w:rsidR="00442B31">
              <w:rPr>
                <w:rFonts w:cstheme="minorHAnsi"/>
                <w:sz w:val="18"/>
                <w:szCs w:val="18"/>
              </w:rPr>
              <w:t xml:space="preserve">economic operators will fall under the PPL. Therefore, it is very important to conduct RIA of new regulations and measure what impact it will have on prices of utility services. </w:t>
            </w:r>
          </w:p>
        </w:tc>
      </w:tr>
      <w:tr w:rsidR="00B91C61" w:rsidRPr="00B331DE" w14:paraId="47268E25" w14:textId="77777777" w:rsidTr="000C5C00">
        <w:trPr>
          <w:trHeight w:val="573"/>
        </w:trPr>
        <w:tc>
          <w:tcPr>
            <w:tcW w:w="353" w:type="dxa"/>
          </w:tcPr>
          <w:p w14:paraId="6BF8DA94" w14:textId="77777777" w:rsidR="00B91C61" w:rsidRPr="000C5C00" w:rsidRDefault="00B91C61" w:rsidP="000C5C00">
            <w:pPr>
              <w:pStyle w:val="ListParagraph"/>
              <w:numPr>
                <w:ilvl w:val="0"/>
                <w:numId w:val="13"/>
              </w:numPr>
              <w:jc w:val="center"/>
              <w:rPr>
                <w:rFonts w:cstheme="minorHAnsi"/>
                <w:sz w:val="18"/>
                <w:szCs w:val="18"/>
              </w:rPr>
            </w:pPr>
          </w:p>
        </w:tc>
        <w:tc>
          <w:tcPr>
            <w:tcW w:w="3304" w:type="dxa"/>
            <w:shd w:val="clear" w:color="auto" w:fill="FFFFFF" w:themeFill="background1"/>
          </w:tcPr>
          <w:p w14:paraId="44E63FC0" w14:textId="49BAAFF1" w:rsidR="00B91C61" w:rsidRPr="00B91C61" w:rsidRDefault="00B91C61" w:rsidP="000C5C00">
            <w:pPr>
              <w:jc w:val="both"/>
              <w:rPr>
                <w:rFonts w:cstheme="minorHAnsi"/>
                <w:sz w:val="18"/>
                <w:szCs w:val="18"/>
              </w:rPr>
            </w:pPr>
            <w:r w:rsidRPr="00B331DE">
              <w:rPr>
                <w:rFonts w:cstheme="minorHAnsi"/>
                <w:sz w:val="18"/>
                <w:szCs w:val="18"/>
              </w:rPr>
              <w:t>Awareness raising</w:t>
            </w:r>
            <w:r>
              <w:rPr>
                <w:rFonts w:cstheme="minorHAnsi"/>
                <w:sz w:val="18"/>
                <w:szCs w:val="18"/>
                <w:lang w:val="ka-GE"/>
              </w:rPr>
              <w:t xml:space="preserve"> </w:t>
            </w:r>
            <w:r>
              <w:rPr>
                <w:rFonts w:cstheme="minorHAnsi"/>
                <w:sz w:val="18"/>
                <w:szCs w:val="18"/>
              </w:rPr>
              <w:t xml:space="preserve">of economic operators </w:t>
            </w:r>
            <w:r w:rsidR="00CE4F55">
              <w:rPr>
                <w:rFonts w:cstheme="minorHAnsi"/>
                <w:sz w:val="18"/>
                <w:szCs w:val="18"/>
              </w:rPr>
              <w:t xml:space="preserve">and procuring authorities </w:t>
            </w:r>
            <w:r>
              <w:rPr>
                <w:rFonts w:cstheme="minorHAnsi"/>
                <w:sz w:val="18"/>
                <w:szCs w:val="18"/>
              </w:rPr>
              <w:t xml:space="preserve">on the new amendment to the PPL on new dispute </w:t>
            </w:r>
            <w:r>
              <w:rPr>
                <w:rFonts w:cstheme="minorHAnsi"/>
                <w:sz w:val="18"/>
                <w:szCs w:val="18"/>
              </w:rPr>
              <w:lastRenderedPageBreak/>
              <w:t xml:space="preserve">review body, which will launch </w:t>
            </w:r>
            <w:proofErr w:type="spellStart"/>
            <w:proofErr w:type="gramStart"/>
            <w:r>
              <w:rPr>
                <w:rFonts w:cstheme="minorHAnsi"/>
                <w:sz w:val="18"/>
                <w:szCs w:val="18"/>
              </w:rPr>
              <w:t>it’s</w:t>
            </w:r>
            <w:proofErr w:type="spellEnd"/>
            <w:proofErr w:type="gramEnd"/>
            <w:r>
              <w:rPr>
                <w:rFonts w:cstheme="minorHAnsi"/>
                <w:sz w:val="18"/>
                <w:szCs w:val="18"/>
              </w:rPr>
              <w:t xml:space="preserve"> operations from January 1</w:t>
            </w:r>
            <w:r w:rsidRPr="00B91C61">
              <w:rPr>
                <w:rFonts w:cstheme="minorHAnsi"/>
                <w:sz w:val="18"/>
                <w:szCs w:val="18"/>
                <w:vertAlign w:val="superscript"/>
              </w:rPr>
              <w:t>st</w:t>
            </w:r>
            <w:r>
              <w:rPr>
                <w:rFonts w:cstheme="minorHAnsi"/>
                <w:sz w:val="18"/>
                <w:szCs w:val="18"/>
              </w:rPr>
              <w:t xml:space="preserve"> 2021.</w:t>
            </w:r>
          </w:p>
        </w:tc>
        <w:tc>
          <w:tcPr>
            <w:tcW w:w="1476" w:type="dxa"/>
            <w:shd w:val="clear" w:color="auto" w:fill="FFFFFF" w:themeFill="background1"/>
          </w:tcPr>
          <w:p w14:paraId="50287673" w14:textId="34EBF2B9" w:rsidR="00B91C61" w:rsidRDefault="00F475B8" w:rsidP="000C5C00">
            <w:pPr>
              <w:rPr>
                <w:rFonts w:cstheme="minorHAnsi"/>
                <w:sz w:val="18"/>
                <w:szCs w:val="18"/>
              </w:rPr>
            </w:pPr>
            <w:r>
              <w:rPr>
                <w:rFonts w:cstheme="minorHAnsi"/>
                <w:sz w:val="18"/>
                <w:szCs w:val="18"/>
              </w:rPr>
              <w:lastRenderedPageBreak/>
              <w:t>September</w:t>
            </w:r>
            <w:r w:rsidR="00B91C61">
              <w:rPr>
                <w:rFonts w:cstheme="minorHAnsi"/>
                <w:sz w:val="18"/>
                <w:szCs w:val="18"/>
              </w:rPr>
              <w:t xml:space="preserve"> 2020 – January 2021</w:t>
            </w:r>
          </w:p>
        </w:tc>
        <w:tc>
          <w:tcPr>
            <w:tcW w:w="8817" w:type="dxa"/>
            <w:shd w:val="clear" w:color="auto" w:fill="FFFFFF" w:themeFill="background1"/>
          </w:tcPr>
          <w:p w14:paraId="3B55017B" w14:textId="39D24656" w:rsidR="00B91C61" w:rsidRDefault="00CE4F55" w:rsidP="00CE4F55">
            <w:pPr>
              <w:rPr>
                <w:rFonts w:cstheme="minorHAnsi"/>
                <w:sz w:val="18"/>
                <w:szCs w:val="18"/>
              </w:rPr>
            </w:pPr>
            <w:r>
              <w:rPr>
                <w:rFonts w:cstheme="minorHAnsi"/>
                <w:sz w:val="18"/>
                <w:szCs w:val="18"/>
              </w:rPr>
              <w:t>According to the changes to the PPL of July 2</w:t>
            </w:r>
            <w:r w:rsidRPr="00CE4F55">
              <w:rPr>
                <w:rFonts w:cstheme="minorHAnsi"/>
                <w:sz w:val="18"/>
                <w:szCs w:val="18"/>
                <w:vertAlign w:val="superscript"/>
              </w:rPr>
              <w:t>nd</w:t>
            </w:r>
            <w:r>
              <w:rPr>
                <w:rFonts w:cstheme="minorHAnsi"/>
                <w:sz w:val="18"/>
                <w:szCs w:val="18"/>
              </w:rPr>
              <w:t xml:space="preserve">, 20202, new independent </w:t>
            </w:r>
            <w:r w:rsidR="00F475B8">
              <w:rPr>
                <w:rFonts w:cstheme="minorHAnsi"/>
                <w:sz w:val="18"/>
                <w:szCs w:val="18"/>
              </w:rPr>
              <w:t xml:space="preserve">dispute </w:t>
            </w:r>
            <w:r>
              <w:rPr>
                <w:rFonts w:cstheme="minorHAnsi"/>
                <w:sz w:val="18"/>
                <w:szCs w:val="18"/>
              </w:rPr>
              <w:t xml:space="preserve">review council will be established in Georgia, which will start </w:t>
            </w:r>
            <w:proofErr w:type="spellStart"/>
            <w:proofErr w:type="gramStart"/>
            <w:r>
              <w:rPr>
                <w:rFonts w:cstheme="minorHAnsi"/>
                <w:sz w:val="18"/>
                <w:szCs w:val="18"/>
              </w:rPr>
              <w:t>it’s</w:t>
            </w:r>
            <w:proofErr w:type="spellEnd"/>
            <w:proofErr w:type="gramEnd"/>
            <w:r>
              <w:rPr>
                <w:rFonts w:cstheme="minorHAnsi"/>
                <w:sz w:val="18"/>
                <w:szCs w:val="18"/>
              </w:rPr>
              <w:t xml:space="preserve"> operations from the 1</w:t>
            </w:r>
            <w:r w:rsidRPr="00CE4F55">
              <w:rPr>
                <w:rFonts w:cstheme="minorHAnsi"/>
                <w:sz w:val="18"/>
                <w:szCs w:val="18"/>
                <w:vertAlign w:val="superscript"/>
              </w:rPr>
              <w:t>st</w:t>
            </w:r>
            <w:r>
              <w:rPr>
                <w:rFonts w:cstheme="minorHAnsi"/>
                <w:sz w:val="18"/>
                <w:szCs w:val="18"/>
              </w:rPr>
              <w:t xml:space="preserve"> of January 2021. Therefore, before new review body will be </w:t>
            </w:r>
            <w:r>
              <w:rPr>
                <w:rFonts w:cstheme="minorHAnsi"/>
                <w:sz w:val="18"/>
                <w:szCs w:val="18"/>
              </w:rPr>
              <w:lastRenderedPageBreak/>
              <w:t xml:space="preserve">created, it is very important to conduct comprehensive awareness campaign among economic operators and procuring authorities, </w:t>
            </w:r>
            <w:proofErr w:type="gramStart"/>
            <w:r>
              <w:rPr>
                <w:rFonts w:cstheme="minorHAnsi"/>
                <w:sz w:val="18"/>
                <w:szCs w:val="18"/>
              </w:rPr>
              <w:t>in order to</w:t>
            </w:r>
            <w:proofErr w:type="gramEnd"/>
            <w:r>
              <w:rPr>
                <w:rFonts w:cstheme="minorHAnsi"/>
                <w:sz w:val="18"/>
                <w:szCs w:val="18"/>
              </w:rPr>
              <w:t xml:space="preserve"> smoothly transform existing system into new one.</w:t>
            </w:r>
          </w:p>
        </w:tc>
      </w:tr>
      <w:tr w:rsidR="00B91C61" w:rsidRPr="00B331DE" w14:paraId="3BF4B223" w14:textId="77777777" w:rsidTr="000C5C00">
        <w:trPr>
          <w:trHeight w:val="573"/>
        </w:trPr>
        <w:tc>
          <w:tcPr>
            <w:tcW w:w="353" w:type="dxa"/>
          </w:tcPr>
          <w:p w14:paraId="2FE6DEB1" w14:textId="77777777" w:rsidR="00B91C61" w:rsidRPr="000C5C00" w:rsidRDefault="00B91C61" w:rsidP="000C5C00">
            <w:pPr>
              <w:pStyle w:val="ListParagraph"/>
              <w:numPr>
                <w:ilvl w:val="0"/>
                <w:numId w:val="13"/>
              </w:numPr>
              <w:jc w:val="center"/>
              <w:rPr>
                <w:rFonts w:cstheme="minorHAnsi"/>
                <w:sz w:val="18"/>
                <w:szCs w:val="18"/>
              </w:rPr>
            </w:pPr>
          </w:p>
        </w:tc>
        <w:tc>
          <w:tcPr>
            <w:tcW w:w="3304" w:type="dxa"/>
            <w:shd w:val="clear" w:color="auto" w:fill="FFFFFF" w:themeFill="background1"/>
          </w:tcPr>
          <w:p w14:paraId="46F9F162" w14:textId="7334F666" w:rsidR="00B91C61" w:rsidRPr="00B331DE" w:rsidRDefault="00B91C61" w:rsidP="000C5C00">
            <w:pPr>
              <w:jc w:val="both"/>
              <w:rPr>
                <w:rFonts w:cstheme="minorHAnsi"/>
                <w:sz w:val="18"/>
                <w:szCs w:val="18"/>
              </w:rPr>
            </w:pPr>
            <w:r w:rsidRPr="00B331DE">
              <w:rPr>
                <w:rFonts w:cstheme="minorHAnsi"/>
                <w:sz w:val="18"/>
                <w:szCs w:val="18"/>
              </w:rPr>
              <w:t>Awareness raising</w:t>
            </w:r>
            <w:r>
              <w:rPr>
                <w:rFonts w:cstheme="minorHAnsi"/>
                <w:sz w:val="18"/>
                <w:szCs w:val="18"/>
              </w:rPr>
              <w:t xml:space="preserve"> of procuring authorities and business operators on the new PPL, which will introduce number of new regulations in order to approximate with EU public procurement legislation, according to the DCFTA obligations</w:t>
            </w:r>
          </w:p>
        </w:tc>
        <w:tc>
          <w:tcPr>
            <w:tcW w:w="1476" w:type="dxa"/>
            <w:shd w:val="clear" w:color="auto" w:fill="FFFFFF" w:themeFill="background1"/>
          </w:tcPr>
          <w:p w14:paraId="7DAE2892" w14:textId="50F1F103" w:rsidR="00B91C61" w:rsidRDefault="00F475B8" w:rsidP="000C5C00">
            <w:pPr>
              <w:rPr>
                <w:rFonts w:cstheme="minorHAnsi"/>
                <w:sz w:val="18"/>
                <w:szCs w:val="18"/>
              </w:rPr>
            </w:pPr>
            <w:r>
              <w:rPr>
                <w:rFonts w:cstheme="minorHAnsi"/>
                <w:sz w:val="18"/>
                <w:szCs w:val="18"/>
              </w:rPr>
              <w:t>September</w:t>
            </w:r>
            <w:r w:rsidR="00B91C61">
              <w:rPr>
                <w:rFonts w:cstheme="minorHAnsi"/>
                <w:sz w:val="18"/>
                <w:szCs w:val="18"/>
              </w:rPr>
              <w:t xml:space="preserve"> 2020 – March 2021</w:t>
            </w:r>
          </w:p>
        </w:tc>
        <w:tc>
          <w:tcPr>
            <w:tcW w:w="8817" w:type="dxa"/>
            <w:shd w:val="clear" w:color="auto" w:fill="FFFFFF" w:themeFill="background1"/>
          </w:tcPr>
          <w:p w14:paraId="1D575F6E" w14:textId="3BF0CA79" w:rsidR="00B91C61" w:rsidRDefault="00CE4F55" w:rsidP="00CE4F55">
            <w:pPr>
              <w:jc w:val="both"/>
              <w:rPr>
                <w:rFonts w:cstheme="minorHAnsi"/>
                <w:sz w:val="18"/>
                <w:szCs w:val="18"/>
              </w:rPr>
            </w:pPr>
            <w:r>
              <w:rPr>
                <w:rFonts w:cstheme="minorHAnsi"/>
                <w:sz w:val="18"/>
                <w:szCs w:val="18"/>
              </w:rPr>
              <w:t>State Procurement Agency has completed work on the new PPL, which will ensure gradual approximation of public procurement legislation with EU acquis. Approximation process is accompanies with number of new regulations and procedures, which have to be introduced gradually. With regard to this, it is very important to conduct series of meetings with procuring authorities and business operators in order to raise awareness on upcoming reforms.</w:t>
            </w:r>
          </w:p>
        </w:tc>
      </w:tr>
      <w:tr w:rsidR="00B91C61" w:rsidRPr="00B331DE" w14:paraId="496A0A5E" w14:textId="77777777" w:rsidTr="000C5C00">
        <w:trPr>
          <w:trHeight w:val="573"/>
        </w:trPr>
        <w:tc>
          <w:tcPr>
            <w:tcW w:w="353" w:type="dxa"/>
          </w:tcPr>
          <w:p w14:paraId="38F155C3" w14:textId="77777777" w:rsidR="00B91C61" w:rsidRPr="000C5C00" w:rsidRDefault="00B91C61" w:rsidP="000C5C00">
            <w:pPr>
              <w:pStyle w:val="ListParagraph"/>
              <w:numPr>
                <w:ilvl w:val="0"/>
                <w:numId w:val="13"/>
              </w:numPr>
              <w:jc w:val="center"/>
              <w:rPr>
                <w:rFonts w:cstheme="minorHAnsi"/>
                <w:sz w:val="18"/>
                <w:szCs w:val="18"/>
              </w:rPr>
            </w:pPr>
          </w:p>
        </w:tc>
        <w:tc>
          <w:tcPr>
            <w:tcW w:w="3304" w:type="dxa"/>
            <w:shd w:val="clear" w:color="auto" w:fill="FFFFFF" w:themeFill="background1"/>
          </w:tcPr>
          <w:p w14:paraId="1D73F840" w14:textId="49AD5780" w:rsidR="00B91C61" w:rsidRPr="00B331DE" w:rsidRDefault="00B91C61" w:rsidP="000C5C00">
            <w:pPr>
              <w:jc w:val="both"/>
              <w:rPr>
                <w:rFonts w:cstheme="minorHAnsi"/>
                <w:sz w:val="18"/>
                <w:szCs w:val="18"/>
              </w:rPr>
            </w:pPr>
            <w:r>
              <w:rPr>
                <w:rFonts w:cstheme="minorHAnsi"/>
                <w:sz w:val="18"/>
                <w:szCs w:val="18"/>
              </w:rPr>
              <w:t xml:space="preserve">Capacity building of the SPA staff to ensure introduction of the new regulations, procurement procedures, new rules of appeals to the </w:t>
            </w:r>
            <w:r w:rsidR="00D63537">
              <w:rPr>
                <w:rFonts w:cstheme="minorHAnsi"/>
                <w:sz w:val="18"/>
                <w:szCs w:val="18"/>
              </w:rPr>
              <w:t>review body by upgrading e-Procurement system,</w:t>
            </w:r>
            <w:r>
              <w:rPr>
                <w:rFonts w:cstheme="minorHAnsi"/>
                <w:sz w:val="18"/>
                <w:szCs w:val="18"/>
              </w:rPr>
              <w:t xml:space="preserve"> according to the changes to the PPL and new draft PPL.</w:t>
            </w:r>
          </w:p>
        </w:tc>
        <w:tc>
          <w:tcPr>
            <w:tcW w:w="1476" w:type="dxa"/>
            <w:shd w:val="clear" w:color="auto" w:fill="FFFFFF" w:themeFill="background1"/>
          </w:tcPr>
          <w:p w14:paraId="050783FF" w14:textId="50AF4119" w:rsidR="00B91C61" w:rsidRDefault="00F475B8" w:rsidP="000C5C00">
            <w:pPr>
              <w:rPr>
                <w:rFonts w:cstheme="minorHAnsi"/>
                <w:sz w:val="18"/>
                <w:szCs w:val="18"/>
              </w:rPr>
            </w:pPr>
            <w:r>
              <w:rPr>
                <w:rFonts w:cstheme="minorHAnsi"/>
                <w:sz w:val="18"/>
                <w:szCs w:val="18"/>
              </w:rPr>
              <w:t>September</w:t>
            </w:r>
            <w:r w:rsidR="00CE4F55">
              <w:rPr>
                <w:rFonts w:cstheme="minorHAnsi"/>
                <w:sz w:val="18"/>
                <w:szCs w:val="18"/>
              </w:rPr>
              <w:t xml:space="preserve"> 2020 – March 2021</w:t>
            </w:r>
          </w:p>
        </w:tc>
        <w:tc>
          <w:tcPr>
            <w:tcW w:w="8817" w:type="dxa"/>
            <w:shd w:val="clear" w:color="auto" w:fill="FFFFFF" w:themeFill="background1"/>
          </w:tcPr>
          <w:p w14:paraId="7EE2AC6A" w14:textId="78175F85" w:rsidR="00B91C61" w:rsidRDefault="00CE4F55" w:rsidP="00444BB1">
            <w:pPr>
              <w:rPr>
                <w:rFonts w:cstheme="minorHAnsi"/>
                <w:sz w:val="18"/>
                <w:szCs w:val="18"/>
              </w:rPr>
            </w:pPr>
            <w:r>
              <w:rPr>
                <w:rFonts w:cstheme="minorHAnsi"/>
                <w:sz w:val="18"/>
                <w:szCs w:val="18"/>
              </w:rPr>
              <w:t>State Procurement A</w:t>
            </w:r>
            <w:r w:rsidR="001E0E04">
              <w:rPr>
                <w:rFonts w:cstheme="minorHAnsi"/>
                <w:sz w:val="18"/>
                <w:szCs w:val="18"/>
              </w:rPr>
              <w:t>gency</w:t>
            </w:r>
            <w:r w:rsidR="00444BB1">
              <w:rPr>
                <w:rFonts w:cstheme="minorHAnsi"/>
                <w:sz w:val="18"/>
                <w:szCs w:val="18"/>
              </w:rPr>
              <w:t xml:space="preserve"> is seeking support in</w:t>
            </w:r>
            <w:r>
              <w:rPr>
                <w:rFonts w:cstheme="minorHAnsi"/>
                <w:sz w:val="18"/>
                <w:szCs w:val="18"/>
              </w:rPr>
              <w:t xml:space="preserve"> capacity building, </w:t>
            </w:r>
            <w:proofErr w:type="gramStart"/>
            <w:r>
              <w:rPr>
                <w:rFonts w:cstheme="minorHAnsi"/>
                <w:sz w:val="18"/>
                <w:szCs w:val="18"/>
              </w:rPr>
              <w:t>in order to</w:t>
            </w:r>
            <w:proofErr w:type="gramEnd"/>
            <w:r>
              <w:rPr>
                <w:rFonts w:cstheme="minorHAnsi"/>
                <w:sz w:val="18"/>
                <w:szCs w:val="18"/>
              </w:rPr>
              <w:t xml:space="preserve"> successfully introduce new reforms, which </w:t>
            </w:r>
            <w:r w:rsidR="00444BB1">
              <w:rPr>
                <w:rFonts w:cstheme="minorHAnsi"/>
                <w:sz w:val="18"/>
                <w:szCs w:val="18"/>
              </w:rPr>
              <w:t>are</w:t>
            </w:r>
            <w:r>
              <w:rPr>
                <w:rFonts w:cstheme="minorHAnsi"/>
                <w:sz w:val="18"/>
                <w:szCs w:val="18"/>
              </w:rPr>
              <w:t xml:space="preserve"> part of the DCFTA obligations. Recent changes to the PPL on creation of the new independent review body needs </w:t>
            </w:r>
            <w:r w:rsidR="00444BB1">
              <w:rPr>
                <w:rFonts w:cstheme="minorHAnsi"/>
                <w:sz w:val="18"/>
                <w:szCs w:val="18"/>
              </w:rPr>
              <w:t xml:space="preserve">technical support by the SPA, in order to upgrade e-Procurement system, by incorporating new module of dispute reviews and reflect changes in the current system. </w:t>
            </w:r>
          </w:p>
          <w:p w14:paraId="5B7CF16F" w14:textId="77777777" w:rsidR="00444BB1" w:rsidRDefault="00444BB1" w:rsidP="00444BB1">
            <w:pPr>
              <w:rPr>
                <w:rFonts w:cstheme="minorHAnsi"/>
                <w:sz w:val="18"/>
                <w:szCs w:val="18"/>
              </w:rPr>
            </w:pPr>
          </w:p>
          <w:p w14:paraId="4CB761AB" w14:textId="47A813C0" w:rsidR="00444BB1" w:rsidRDefault="00444BB1" w:rsidP="00444BB1">
            <w:pPr>
              <w:rPr>
                <w:rFonts w:cstheme="minorHAnsi"/>
                <w:sz w:val="18"/>
                <w:szCs w:val="18"/>
              </w:rPr>
            </w:pPr>
            <w:r>
              <w:rPr>
                <w:rFonts w:cstheme="minorHAnsi"/>
                <w:sz w:val="18"/>
                <w:szCs w:val="18"/>
              </w:rPr>
              <w:t>SPA has completed work on new PPL, which fully covers DCFTA obligations. Currently SPA is finalizing the document by reflecting remarks from different Ministries. It should be underlined that new law envisages significant reforms in the public procurement sector in Georgia by introducing new rules and regulation. Successful implementation of the new regulations is a key point</w:t>
            </w:r>
            <w:r w:rsidR="001E0E04">
              <w:rPr>
                <w:rFonts w:cstheme="minorHAnsi"/>
                <w:sz w:val="18"/>
                <w:szCs w:val="18"/>
              </w:rPr>
              <w:t xml:space="preserve">, which requires capacity development of the SPA staff. </w:t>
            </w:r>
          </w:p>
          <w:p w14:paraId="3C67E807" w14:textId="77777777" w:rsidR="00444BB1" w:rsidRDefault="00444BB1" w:rsidP="00444BB1">
            <w:pPr>
              <w:rPr>
                <w:rFonts w:cstheme="minorHAnsi"/>
                <w:sz w:val="18"/>
                <w:szCs w:val="18"/>
              </w:rPr>
            </w:pPr>
          </w:p>
          <w:p w14:paraId="0C5F91D3" w14:textId="1DA8639B" w:rsidR="00444BB1" w:rsidRDefault="00444BB1" w:rsidP="00444BB1">
            <w:pPr>
              <w:rPr>
                <w:rFonts w:cstheme="minorHAnsi"/>
                <w:sz w:val="18"/>
                <w:szCs w:val="18"/>
              </w:rPr>
            </w:pPr>
          </w:p>
        </w:tc>
      </w:tr>
      <w:tr w:rsidR="00B83A72" w:rsidRPr="000C5C00" w14:paraId="66061882" w14:textId="77777777" w:rsidTr="00A66E60">
        <w:trPr>
          <w:trHeight w:val="296"/>
        </w:trPr>
        <w:tc>
          <w:tcPr>
            <w:tcW w:w="13950" w:type="dxa"/>
            <w:gridSpan w:val="4"/>
            <w:shd w:val="clear" w:color="auto" w:fill="FFFF00"/>
          </w:tcPr>
          <w:p w14:paraId="4E928506" w14:textId="60B9525D" w:rsidR="00B83A72" w:rsidRPr="00B83A72" w:rsidRDefault="00B83A72" w:rsidP="00A66E60">
            <w:pPr>
              <w:widowControl w:val="0"/>
              <w:autoSpaceDE w:val="0"/>
              <w:autoSpaceDN w:val="0"/>
              <w:adjustRightInd w:val="0"/>
              <w:contextualSpacing/>
              <w:jc w:val="both"/>
              <w:rPr>
                <w:rFonts w:cstheme="minorHAnsi"/>
                <w:sz w:val="18"/>
                <w:szCs w:val="18"/>
              </w:rPr>
            </w:pPr>
            <w:r>
              <w:rPr>
                <w:rFonts w:cstheme="minorHAnsi"/>
                <w:sz w:val="18"/>
                <w:szCs w:val="18"/>
              </w:rPr>
              <w:t>MOH</w:t>
            </w:r>
          </w:p>
        </w:tc>
      </w:tr>
      <w:tr w:rsidR="00B83A72" w:rsidRPr="00B331DE" w14:paraId="394FAA21" w14:textId="77777777" w:rsidTr="00A66E60">
        <w:trPr>
          <w:trHeight w:val="573"/>
        </w:trPr>
        <w:tc>
          <w:tcPr>
            <w:tcW w:w="353" w:type="dxa"/>
            <w:shd w:val="clear" w:color="auto" w:fill="B4C6E7" w:themeFill="accent5" w:themeFillTint="66"/>
          </w:tcPr>
          <w:p w14:paraId="12E7318F" w14:textId="77777777" w:rsidR="00B83A72" w:rsidRPr="000C5C00" w:rsidRDefault="00B83A72" w:rsidP="00A66E60">
            <w:pPr>
              <w:ind w:left="90"/>
              <w:jc w:val="center"/>
              <w:rPr>
                <w:rFonts w:cstheme="minorHAnsi"/>
                <w:sz w:val="18"/>
                <w:szCs w:val="18"/>
              </w:rPr>
            </w:pPr>
          </w:p>
        </w:tc>
        <w:tc>
          <w:tcPr>
            <w:tcW w:w="3304" w:type="dxa"/>
            <w:shd w:val="clear" w:color="auto" w:fill="B4C6E7" w:themeFill="accent5" w:themeFillTint="66"/>
          </w:tcPr>
          <w:p w14:paraId="4A64F7DE" w14:textId="77777777" w:rsidR="00B83A72" w:rsidRPr="00B331DE" w:rsidRDefault="00B83A72" w:rsidP="00A66E60">
            <w:pPr>
              <w:jc w:val="both"/>
              <w:rPr>
                <w:rFonts w:cstheme="minorHAnsi"/>
                <w:sz w:val="18"/>
                <w:szCs w:val="18"/>
              </w:rPr>
            </w:pPr>
            <w:r w:rsidRPr="00B331DE">
              <w:rPr>
                <w:rFonts w:cstheme="minorHAnsi"/>
                <w:sz w:val="18"/>
                <w:szCs w:val="18"/>
              </w:rPr>
              <w:t>Activity</w:t>
            </w:r>
          </w:p>
        </w:tc>
        <w:tc>
          <w:tcPr>
            <w:tcW w:w="1476" w:type="dxa"/>
            <w:shd w:val="clear" w:color="auto" w:fill="B4C6E7" w:themeFill="accent5" w:themeFillTint="66"/>
          </w:tcPr>
          <w:p w14:paraId="1E85CCFA" w14:textId="77777777" w:rsidR="00B83A72" w:rsidRPr="00B331DE" w:rsidRDefault="00B83A72" w:rsidP="00A66E60">
            <w:pPr>
              <w:rPr>
                <w:rFonts w:cstheme="minorHAnsi"/>
                <w:sz w:val="18"/>
                <w:szCs w:val="18"/>
              </w:rPr>
            </w:pPr>
            <w:r w:rsidRPr="00B331DE">
              <w:rPr>
                <w:rFonts w:cstheme="minorHAnsi"/>
                <w:sz w:val="18"/>
                <w:szCs w:val="18"/>
              </w:rPr>
              <w:t>Dates of implementation</w:t>
            </w:r>
          </w:p>
          <w:p w14:paraId="0E1557AF" w14:textId="77777777" w:rsidR="00B83A72" w:rsidRPr="00B331DE" w:rsidRDefault="00B83A72" w:rsidP="00A66E60">
            <w:pPr>
              <w:rPr>
                <w:rFonts w:cstheme="minorHAnsi"/>
                <w:sz w:val="18"/>
                <w:szCs w:val="18"/>
              </w:rPr>
            </w:pPr>
            <w:r w:rsidRPr="00B331DE">
              <w:rPr>
                <w:rFonts w:cstheme="minorHAnsi"/>
                <w:sz w:val="18"/>
                <w:szCs w:val="18"/>
              </w:rPr>
              <w:t xml:space="preserve">(2020-2021) </w:t>
            </w:r>
          </w:p>
        </w:tc>
        <w:tc>
          <w:tcPr>
            <w:tcW w:w="8817" w:type="dxa"/>
            <w:shd w:val="clear" w:color="auto" w:fill="B4C6E7" w:themeFill="accent5" w:themeFillTint="66"/>
          </w:tcPr>
          <w:p w14:paraId="63D18547" w14:textId="77777777" w:rsidR="00B83A72" w:rsidRPr="00B331DE" w:rsidRDefault="00B83A72" w:rsidP="00A66E60">
            <w:pPr>
              <w:rPr>
                <w:rFonts w:cstheme="minorHAnsi"/>
                <w:sz w:val="18"/>
                <w:szCs w:val="18"/>
              </w:rPr>
            </w:pPr>
            <w:r w:rsidRPr="00B331DE">
              <w:rPr>
                <w:rFonts w:cstheme="minorHAnsi"/>
                <w:sz w:val="18"/>
                <w:szCs w:val="18"/>
              </w:rPr>
              <w:t>Comment/Justification/</w:t>
            </w:r>
          </w:p>
          <w:p w14:paraId="77F2D12D" w14:textId="77777777" w:rsidR="00B83A72" w:rsidRPr="00B331DE" w:rsidRDefault="00B83A72" w:rsidP="00A66E60">
            <w:pPr>
              <w:widowControl w:val="0"/>
              <w:autoSpaceDE w:val="0"/>
              <w:autoSpaceDN w:val="0"/>
              <w:adjustRightInd w:val="0"/>
              <w:contextualSpacing/>
              <w:jc w:val="both"/>
              <w:rPr>
                <w:rFonts w:cstheme="minorHAnsi"/>
                <w:sz w:val="18"/>
                <w:szCs w:val="18"/>
              </w:rPr>
            </w:pPr>
            <w:r w:rsidRPr="00B331DE">
              <w:rPr>
                <w:rFonts w:cstheme="minorHAnsi"/>
                <w:sz w:val="18"/>
                <w:szCs w:val="18"/>
              </w:rPr>
              <w:t>Baseline</w:t>
            </w:r>
          </w:p>
        </w:tc>
      </w:tr>
      <w:tr w:rsidR="00B83A72" w14:paraId="6F70CDE7" w14:textId="77777777" w:rsidTr="00A66E60">
        <w:trPr>
          <w:trHeight w:val="573"/>
        </w:trPr>
        <w:tc>
          <w:tcPr>
            <w:tcW w:w="353" w:type="dxa"/>
          </w:tcPr>
          <w:p w14:paraId="65F1EB74" w14:textId="77777777" w:rsidR="00B83A72" w:rsidRPr="000C5C00" w:rsidRDefault="00B83A72" w:rsidP="00B83A72">
            <w:pPr>
              <w:pStyle w:val="ListParagraph"/>
              <w:numPr>
                <w:ilvl w:val="0"/>
                <w:numId w:val="14"/>
              </w:numPr>
              <w:jc w:val="center"/>
              <w:rPr>
                <w:rFonts w:cstheme="minorHAnsi"/>
                <w:sz w:val="18"/>
                <w:szCs w:val="18"/>
              </w:rPr>
            </w:pPr>
          </w:p>
        </w:tc>
        <w:tc>
          <w:tcPr>
            <w:tcW w:w="3304" w:type="dxa"/>
            <w:shd w:val="clear" w:color="auto" w:fill="FFFFFF" w:themeFill="background1"/>
          </w:tcPr>
          <w:p w14:paraId="0CE29D61" w14:textId="086CFA3C" w:rsidR="00B83A72" w:rsidRPr="00B331DE" w:rsidRDefault="00B83A72" w:rsidP="00A66E60">
            <w:pPr>
              <w:jc w:val="both"/>
              <w:rPr>
                <w:rFonts w:cstheme="minorHAnsi"/>
                <w:sz w:val="18"/>
                <w:szCs w:val="18"/>
              </w:rPr>
            </w:pPr>
          </w:p>
        </w:tc>
        <w:tc>
          <w:tcPr>
            <w:tcW w:w="1476" w:type="dxa"/>
            <w:shd w:val="clear" w:color="auto" w:fill="FFFFFF" w:themeFill="background1"/>
          </w:tcPr>
          <w:p w14:paraId="6CBC5CB7" w14:textId="4952CC1B" w:rsidR="00B83A72" w:rsidRDefault="00B83A72" w:rsidP="00A66E60">
            <w:pPr>
              <w:rPr>
                <w:rFonts w:cstheme="minorHAnsi"/>
                <w:sz w:val="18"/>
                <w:szCs w:val="18"/>
              </w:rPr>
            </w:pPr>
          </w:p>
        </w:tc>
        <w:tc>
          <w:tcPr>
            <w:tcW w:w="8817" w:type="dxa"/>
            <w:shd w:val="clear" w:color="auto" w:fill="FFFFFF" w:themeFill="background1"/>
          </w:tcPr>
          <w:p w14:paraId="7A2B6FE6" w14:textId="77777777" w:rsidR="00B83A72" w:rsidRDefault="00B83A72" w:rsidP="00A66E60">
            <w:pPr>
              <w:rPr>
                <w:rFonts w:cstheme="minorHAnsi"/>
                <w:sz w:val="18"/>
                <w:szCs w:val="18"/>
              </w:rPr>
            </w:pPr>
          </w:p>
        </w:tc>
      </w:tr>
      <w:tr w:rsidR="00B83A72" w14:paraId="047CF86B" w14:textId="77777777" w:rsidTr="00A66E60">
        <w:trPr>
          <w:trHeight w:val="573"/>
        </w:trPr>
        <w:tc>
          <w:tcPr>
            <w:tcW w:w="353" w:type="dxa"/>
          </w:tcPr>
          <w:p w14:paraId="567F447F" w14:textId="77777777" w:rsidR="00B83A72" w:rsidRPr="000C5C00" w:rsidRDefault="00B83A72" w:rsidP="00B83A72">
            <w:pPr>
              <w:pStyle w:val="ListParagraph"/>
              <w:numPr>
                <w:ilvl w:val="0"/>
                <w:numId w:val="14"/>
              </w:numPr>
              <w:jc w:val="center"/>
              <w:rPr>
                <w:rFonts w:cstheme="minorHAnsi"/>
                <w:sz w:val="18"/>
                <w:szCs w:val="18"/>
              </w:rPr>
            </w:pPr>
          </w:p>
        </w:tc>
        <w:tc>
          <w:tcPr>
            <w:tcW w:w="3304" w:type="dxa"/>
            <w:shd w:val="clear" w:color="auto" w:fill="FFFFFF" w:themeFill="background1"/>
          </w:tcPr>
          <w:p w14:paraId="6B7395AC" w14:textId="77777777" w:rsidR="00B83A72" w:rsidRDefault="00B83A72" w:rsidP="00A66E60">
            <w:pPr>
              <w:jc w:val="both"/>
              <w:rPr>
                <w:rFonts w:cstheme="minorHAnsi"/>
                <w:sz w:val="18"/>
                <w:szCs w:val="18"/>
              </w:rPr>
            </w:pPr>
          </w:p>
        </w:tc>
        <w:tc>
          <w:tcPr>
            <w:tcW w:w="1476" w:type="dxa"/>
            <w:shd w:val="clear" w:color="auto" w:fill="FFFFFF" w:themeFill="background1"/>
          </w:tcPr>
          <w:p w14:paraId="4C41EA02" w14:textId="77777777" w:rsidR="00B83A72" w:rsidRDefault="00B83A72" w:rsidP="00A66E60">
            <w:pPr>
              <w:rPr>
                <w:rFonts w:cstheme="minorHAnsi"/>
                <w:sz w:val="18"/>
                <w:szCs w:val="18"/>
              </w:rPr>
            </w:pPr>
          </w:p>
        </w:tc>
        <w:tc>
          <w:tcPr>
            <w:tcW w:w="8817" w:type="dxa"/>
            <w:shd w:val="clear" w:color="auto" w:fill="FFFFFF" w:themeFill="background1"/>
          </w:tcPr>
          <w:p w14:paraId="17BB38C1" w14:textId="77777777" w:rsidR="00B83A72" w:rsidRDefault="00B83A72" w:rsidP="00A66E60">
            <w:pPr>
              <w:rPr>
                <w:rFonts w:cstheme="minorHAnsi"/>
                <w:sz w:val="18"/>
                <w:szCs w:val="18"/>
              </w:rPr>
            </w:pPr>
          </w:p>
        </w:tc>
      </w:tr>
      <w:tr w:rsidR="00B83A72" w14:paraId="47817372" w14:textId="77777777" w:rsidTr="00A66E60">
        <w:trPr>
          <w:trHeight w:val="573"/>
        </w:trPr>
        <w:tc>
          <w:tcPr>
            <w:tcW w:w="353" w:type="dxa"/>
          </w:tcPr>
          <w:p w14:paraId="7CC483F1" w14:textId="77777777" w:rsidR="00B83A72" w:rsidRPr="000C5C00" w:rsidRDefault="00B83A72" w:rsidP="00B83A72">
            <w:pPr>
              <w:pStyle w:val="ListParagraph"/>
              <w:numPr>
                <w:ilvl w:val="0"/>
                <w:numId w:val="14"/>
              </w:numPr>
              <w:jc w:val="center"/>
              <w:rPr>
                <w:rFonts w:cstheme="minorHAnsi"/>
                <w:sz w:val="18"/>
                <w:szCs w:val="18"/>
              </w:rPr>
            </w:pPr>
          </w:p>
        </w:tc>
        <w:tc>
          <w:tcPr>
            <w:tcW w:w="3304" w:type="dxa"/>
            <w:shd w:val="clear" w:color="auto" w:fill="FFFFFF" w:themeFill="background1"/>
          </w:tcPr>
          <w:p w14:paraId="1A06C22B" w14:textId="77777777" w:rsidR="00B83A72" w:rsidRDefault="00B83A72" w:rsidP="00A66E60">
            <w:pPr>
              <w:jc w:val="both"/>
              <w:rPr>
                <w:rFonts w:cstheme="minorHAnsi"/>
                <w:sz w:val="18"/>
                <w:szCs w:val="18"/>
              </w:rPr>
            </w:pPr>
          </w:p>
        </w:tc>
        <w:tc>
          <w:tcPr>
            <w:tcW w:w="1476" w:type="dxa"/>
            <w:shd w:val="clear" w:color="auto" w:fill="FFFFFF" w:themeFill="background1"/>
          </w:tcPr>
          <w:p w14:paraId="1053AACA" w14:textId="77777777" w:rsidR="00B83A72" w:rsidRDefault="00B83A72" w:rsidP="00A66E60">
            <w:pPr>
              <w:rPr>
                <w:rFonts w:cstheme="minorHAnsi"/>
                <w:sz w:val="18"/>
                <w:szCs w:val="18"/>
              </w:rPr>
            </w:pPr>
          </w:p>
        </w:tc>
        <w:tc>
          <w:tcPr>
            <w:tcW w:w="8817" w:type="dxa"/>
            <w:shd w:val="clear" w:color="auto" w:fill="FFFFFF" w:themeFill="background1"/>
          </w:tcPr>
          <w:p w14:paraId="74CBBF93" w14:textId="77777777" w:rsidR="00B83A72" w:rsidRDefault="00B83A72" w:rsidP="00A66E60">
            <w:pPr>
              <w:rPr>
                <w:rFonts w:cstheme="minorHAnsi"/>
                <w:sz w:val="18"/>
                <w:szCs w:val="18"/>
              </w:rPr>
            </w:pPr>
          </w:p>
        </w:tc>
      </w:tr>
    </w:tbl>
    <w:p w14:paraId="1247CAAF" w14:textId="77777777" w:rsidR="005F1AB9" w:rsidRPr="004B68CA" w:rsidRDefault="005F1AB9" w:rsidP="004B68CA">
      <w:pPr>
        <w:rPr>
          <w:rFonts w:cstheme="minorHAnsi"/>
          <w:sz w:val="18"/>
          <w:szCs w:val="18"/>
        </w:rPr>
      </w:pPr>
    </w:p>
    <w:p w14:paraId="55CC54D7" w14:textId="77777777" w:rsidR="004B68CA" w:rsidRDefault="004B68CA" w:rsidP="004B68CA">
      <w:pPr>
        <w:rPr>
          <w:rFonts w:cstheme="minorHAnsi"/>
          <w:sz w:val="18"/>
          <w:szCs w:val="18"/>
        </w:rPr>
      </w:pPr>
    </w:p>
    <w:p w14:paraId="1ADFA2D6" w14:textId="77777777" w:rsidR="005B54C3" w:rsidRDefault="004B68CA" w:rsidP="004B68CA">
      <w:pPr>
        <w:tabs>
          <w:tab w:val="left" w:pos="4155"/>
        </w:tabs>
        <w:rPr>
          <w:rFonts w:cstheme="minorHAnsi"/>
          <w:sz w:val="18"/>
          <w:szCs w:val="18"/>
        </w:rPr>
      </w:pPr>
      <w:r>
        <w:rPr>
          <w:rFonts w:cstheme="minorHAnsi"/>
          <w:sz w:val="18"/>
          <w:szCs w:val="18"/>
        </w:rPr>
        <w:tab/>
      </w:r>
    </w:p>
    <w:p w14:paraId="1076A058" w14:textId="77777777" w:rsidR="004B68CA" w:rsidRDefault="004B68CA" w:rsidP="004B68CA">
      <w:pPr>
        <w:tabs>
          <w:tab w:val="left" w:pos="4155"/>
        </w:tabs>
        <w:rPr>
          <w:rFonts w:cstheme="minorHAnsi"/>
          <w:sz w:val="18"/>
          <w:szCs w:val="18"/>
        </w:rPr>
      </w:pPr>
    </w:p>
    <w:p w14:paraId="31F21714" w14:textId="77777777" w:rsidR="004B68CA" w:rsidRDefault="004B68CA" w:rsidP="004B68CA">
      <w:pPr>
        <w:tabs>
          <w:tab w:val="left" w:pos="4155"/>
        </w:tabs>
        <w:rPr>
          <w:rFonts w:cstheme="minorHAnsi"/>
          <w:sz w:val="18"/>
          <w:szCs w:val="18"/>
        </w:rPr>
      </w:pPr>
    </w:p>
    <w:p w14:paraId="2F6C1C34" w14:textId="77777777" w:rsidR="004B68CA" w:rsidRPr="004B68CA" w:rsidRDefault="004B68CA" w:rsidP="004B68CA">
      <w:pPr>
        <w:tabs>
          <w:tab w:val="left" w:pos="4155"/>
        </w:tabs>
        <w:rPr>
          <w:rFonts w:cstheme="minorHAnsi"/>
          <w:sz w:val="18"/>
          <w:szCs w:val="18"/>
        </w:rPr>
      </w:pPr>
    </w:p>
    <w:sectPr w:rsidR="004B68CA" w:rsidRPr="004B68CA" w:rsidSect="00292D29">
      <w:headerReference w:type="default" r:id="rId8"/>
      <w:footerReference w:type="default" r:id="rId9"/>
      <w:pgSz w:w="15840" w:h="12240" w:orient="landscape"/>
      <w:pgMar w:top="810" w:right="1440" w:bottom="90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0AE24" w14:textId="77777777" w:rsidR="009526DB" w:rsidRDefault="009526DB" w:rsidP="005B54C3">
      <w:pPr>
        <w:spacing w:after="0" w:line="240" w:lineRule="auto"/>
      </w:pPr>
      <w:r>
        <w:separator/>
      </w:r>
    </w:p>
  </w:endnote>
  <w:endnote w:type="continuationSeparator" w:id="0">
    <w:p w14:paraId="1FBC21DA" w14:textId="77777777" w:rsidR="009526DB" w:rsidRDefault="009526DB" w:rsidP="005B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287654"/>
      <w:docPartObj>
        <w:docPartGallery w:val="Page Numbers (Bottom of Page)"/>
        <w:docPartUnique/>
      </w:docPartObj>
    </w:sdtPr>
    <w:sdtEndPr>
      <w:rPr>
        <w:noProof/>
      </w:rPr>
    </w:sdtEndPr>
    <w:sdtContent>
      <w:p w14:paraId="43EE3E50" w14:textId="68F55632" w:rsidR="005B54C3" w:rsidRDefault="005B54C3">
        <w:pPr>
          <w:pStyle w:val="Footer"/>
          <w:jc w:val="right"/>
        </w:pPr>
        <w:r>
          <w:fldChar w:fldCharType="begin"/>
        </w:r>
        <w:r>
          <w:instrText xml:space="preserve"> PAGE   \* MERGEFORMAT </w:instrText>
        </w:r>
        <w:r>
          <w:fldChar w:fldCharType="separate"/>
        </w:r>
        <w:r w:rsidR="00D63537">
          <w:rPr>
            <w:noProof/>
          </w:rPr>
          <w:t>6</w:t>
        </w:r>
        <w:r>
          <w:rPr>
            <w:noProof/>
          </w:rPr>
          <w:fldChar w:fldCharType="end"/>
        </w:r>
      </w:p>
    </w:sdtContent>
  </w:sdt>
  <w:p w14:paraId="25D953D6" w14:textId="77777777" w:rsidR="005B54C3" w:rsidRDefault="005B5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4F04B" w14:textId="77777777" w:rsidR="009526DB" w:rsidRDefault="009526DB" w:rsidP="005B54C3">
      <w:pPr>
        <w:spacing w:after="0" w:line="240" w:lineRule="auto"/>
      </w:pPr>
      <w:r>
        <w:separator/>
      </w:r>
    </w:p>
  </w:footnote>
  <w:footnote w:type="continuationSeparator" w:id="0">
    <w:p w14:paraId="6A38AA87" w14:textId="77777777" w:rsidR="009526DB" w:rsidRDefault="009526DB" w:rsidP="005B5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6365" w14:textId="6C8380AF" w:rsidR="00164A0D" w:rsidRPr="00164A0D" w:rsidRDefault="00164A0D" w:rsidP="00164A0D">
    <w:pPr>
      <w:jc w:val="center"/>
      <w:rPr>
        <w:rFonts w:cstheme="minorHAnsi"/>
        <w:b/>
        <w:color w:val="808080" w:themeColor="background1" w:themeShade="80"/>
      </w:rPr>
    </w:pPr>
    <w:r w:rsidRPr="00164A0D">
      <w:rPr>
        <w:rFonts w:cstheme="minorHAnsi"/>
        <w:b/>
        <w:color w:val="808080" w:themeColor="background1" w:themeShade="80"/>
      </w:rPr>
      <w:t>Beneficiaries DCFTA related requests</w:t>
    </w:r>
    <w:r w:rsidR="008C1D97">
      <w:rPr>
        <w:rFonts w:cstheme="minorHAnsi"/>
        <w:b/>
        <w:color w:val="808080" w:themeColor="background1" w:themeShade="80"/>
      </w:rPr>
      <w:t xml:space="preserve"> for AAF</w:t>
    </w:r>
    <w:r w:rsidRPr="00164A0D">
      <w:rPr>
        <w:rFonts w:cstheme="minorHAnsi"/>
        <w:b/>
        <w:color w:val="808080" w:themeColor="background1" w:themeShade="80"/>
      </w:rPr>
      <w:t xml:space="preserve"> assistance in the period September 2020</w:t>
    </w:r>
    <w:r w:rsidR="00B331DE">
      <w:rPr>
        <w:rFonts w:cstheme="minorHAnsi"/>
        <w:b/>
        <w:color w:val="808080" w:themeColor="background1" w:themeShade="80"/>
      </w:rPr>
      <w:t xml:space="preserve"> – 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814"/>
    <w:multiLevelType w:val="hybridMultilevel"/>
    <w:tmpl w:val="BCC2D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2824"/>
    <w:multiLevelType w:val="hybridMultilevel"/>
    <w:tmpl w:val="A9D6E30A"/>
    <w:lvl w:ilvl="0" w:tplc="16FAB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602753B"/>
    <w:multiLevelType w:val="hybridMultilevel"/>
    <w:tmpl w:val="992CD09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0152A2"/>
    <w:multiLevelType w:val="hybridMultilevel"/>
    <w:tmpl w:val="DF788E5A"/>
    <w:lvl w:ilvl="0" w:tplc="0CA0BC6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AD81203"/>
    <w:multiLevelType w:val="hybridMultilevel"/>
    <w:tmpl w:val="992CD09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CCF4168"/>
    <w:multiLevelType w:val="hybridMultilevel"/>
    <w:tmpl w:val="FE663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D84671"/>
    <w:multiLevelType w:val="hybridMultilevel"/>
    <w:tmpl w:val="30B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C6E33"/>
    <w:multiLevelType w:val="hybridMultilevel"/>
    <w:tmpl w:val="DF788E5A"/>
    <w:lvl w:ilvl="0" w:tplc="0CA0BC6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0C1476B"/>
    <w:multiLevelType w:val="hybridMultilevel"/>
    <w:tmpl w:val="727A24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9411C"/>
    <w:multiLevelType w:val="hybridMultilevel"/>
    <w:tmpl w:val="A3D6B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12113"/>
    <w:multiLevelType w:val="hybridMultilevel"/>
    <w:tmpl w:val="FE1892AE"/>
    <w:lvl w:ilvl="0" w:tplc="A6BCF96C">
      <w:start w:val="1"/>
      <w:numFmt w:val="decimal"/>
      <w:lvlText w:val="%1."/>
      <w:lvlJc w:val="left"/>
      <w:pPr>
        <w:ind w:left="450" w:hanging="360"/>
      </w:pPr>
      <w:rPr>
        <w:strike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D757679"/>
    <w:multiLevelType w:val="hybridMultilevel"/>
    <w:tmpl w:val="D5828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24335"/>
    <w:multiLevelType w:val="hybridMultilevel"/>
    <w:tmpl w:val="88465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76DB3"/>
    <w:multiLevelType w:val="hybridMultilevel"/>
    <w:tmpl w:val="992CD09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3"/>
  </w:num>
  <w:num w:numId="2">
    <w:abstractNumId w:val="10"/>
  </w:num>
  <w:num w:numId="3">
    <w:abstractNumId w:val="4"/>
  </w:num>
  <w:num w:numId="4">
    <w:abstractNumId w:val="5"/>
  </w:num>
  <w:num w:numId="5">
    <w:abstractNumId w:val="9"/>
  </w:num>
  <w:num w:numId="6">
    <w:abstractNumId w:val="11"/>
  </w:num>
  <w:num w:numId="7">
    <w:abstractNumId w:val="12"/>
  </w:num>
  <w:num w:numId="8">
    <w:abstractNumId w:val="8"/>
  </w:num>
  <w:num w:numId="9">
    <w:abstractNumId w:val="6"/>
  </w:num>
  <w:num w:numId="10">
    <w:abstractNumId w:val="0"/>
  </w:num>
  <w:num w:numId="11">
    <w:abstractNumId w:val="2"/>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2C"/>
    <w:rsid w:val="00046C4E"/>
    <w:rsid w:val="00064246"/>
    <w:rsid w:val="00081EFC"/>
    <w:rsid w:val="000A2D8A"/>
    <w:rsid w:val="000C5C00"/>
    <w:rsid w:val="000D4460"/>
    <w:rsid w:val="000D714B"/>
    <w:rsid w:val="00123048"/>
    <w:rsid w:val="00126885"/>
    <w:rsid w:val="00145008"/>
    <w:rsid w:val="0016304A"/>
    <w:rsid w:val="00164A0D"/>
    <w:rsid w:val="00172F0C"/>
    <w:rsid w:val="001E0E04"/>
    <w:rsid w:val="00230EFF"/>
    <w:rsid w:val="0023374B"/>
    <w:rsid w:val="00254B36"/>
    <w:rsid w:val="0025782C"/>
    <w:rsid w:val="00292D29"/>
    <w:rsid w:val="002A3409"/>
    <w:rsid w:val="002C1206"/>
    <w:rsid w:val="00323C7E"/>
    <w:rsid w:val="003438B8"/>
    <w:rsid w:val="00344FFF"/>
    <w:rsid w:val="0035519B"/>
    <w:rsid w:val="00385EDA"/>
    <w:rsid w:val="003A62A9"/>
    <w:rsid w:val="003C121C"/>
    <w:rsid w:val="003E5EFC"/>
    <w:rsid w:val="003F354D"/>
    <w:rsid w:val="00400407"/>
    <w:rsid w:val="004247F1"/>
    <w:rsid w:val="00424825"/>
    <w:rsid w:val="00431349"/>
    <w:rsid w:val="004335E7"/>
    <w:rsid w:val="00442B31"/>
    <w:rsid w:val="00444BB1"/>
    <w:rsid w:val="00472E4C"/>
    <w:rsid w:val="004B51C6"/>
    <w:rsid w:val="004B68CA"/>
    <w:rsid w:val="004F3720"/>
    <w:rsid w:val="004F5CB6"/>
    <w:rsid w:val="005349DD"/>
    <w:rsid w:val="0055163F"/>
    <w:rsid w:val="00572DE4"/>
    <w:rsid w:val="005753C4"/>
    <w:rsid w:val="005B54C3"/>
    <w:rsid w:val="005F1AB9"/>
    <w:rsid w:val="00616EF5"/>
    <w:rsid w:val="00617958"/>
    <w:rsid w:val="0064521F"/>
    <w:rsid w:val="006517F7"/>
    <w:rsid w:val="00715E49"/>
    <w:rsid w:val="0075498F"/>
    <w:rsid w:val="00761E3C"/>
    <w:rsid w:val="00780D2A"/>
    <w:rsid w:val="00783959"/>
    <w:rsid w:val="007C20EB"/>
    <w:rsid w:val="0083124C"/>
    <w:rsid w:val="008C1D97"/>
    <w:rsid w:val="00930544"/>
    <w:rsid w:val="009526DB"/>
    <w:rsid w:val="00980BCA"/>
    <w:rsid w:val="00981D17"/>
    <w:rsid w:val="009908E5"/>
    <w:rsid w:val="009A0235"/>
    <w:rsid w:val="009A0735"/>
    <w:rsid w:val="00A069E3"/>
    <w:rsid w:val="00A07354"/>
    <w:rsid w:val="00A7051D"/>
    <w:rsid w:val="00AA4B33"/>
    <w:rsid w:val="00AA5659"/>
    <w:rsid w:val="00AB5142"/>
    <w:rsid w:val="00AF2759"/>
    <w:rsid w:val="00B331DE"/>
    <w:rsid w:val="00B4114F"/>
    <w:rsid w:val="00B83A72"/>
    <w:rsid w:val="00B91C61"/>
    <w:rsid w:val="00B95527"/>
    <w:rsid w:val="00BA477B"/>
    <w:rsid w:val="00C24C11"/>
    <w:rsid w:val="00C672EA"/>
    <w:rsid w:val="00C90293"/>
    <w:rsid w:val="00CE4DC2"/>
    <w:rsid w:val="00CE4F55"/>
    <w:rsid w:val="00D057A7"/>
    <w:rsid w:val="00D33409"/>
    <w:rsid w:val="00D515ED"/>
    <w:rsid w:val="00D63537"/>
    <w:rsid w:val="00D72101"/>
    <w:rsid w:val="00D73FC3"/>
    <w:rsid w:val="00D819A8"/>
    <w:rsid w:val="00D86C05"/>
    <w:rsid w:val="00DA4DFB"/>
    <w:rsid w:val="00DC1C81"/>
    <w:rsid w:val="00E05F73"/>
    <w:rsid w:val="00E8252C"/>
    <w:rsid w:val="00EC4510"/>
    <w:rsid w:val="00EC768F"/>
    <w:rsid w:val="00EF2250"/>
    <w:rsid w:val="00EF4968"/>
    <w:rsid w:val="00F222A0"/>
    <w:rsid w:val="00F352D4"/>
    <w:rsid w:val="00F475B8"/>
    <w:rsid w:val="00F67F50"/>
    <w:rsid w:val="00F749A7"/>
    <w:rsid w:val="00F86F5A"/>
    <w:rsid w:val="00F9324B"/>
    <w:rsid w:val="00FB4EC3"/>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0D83C"/>
  <w15:chartTrackingRefBased/>
  <w15:docId w15:val="{F714F11E-BD37-4090-AA04-04F2E1CC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0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782C"/>
    <w:pPr>
      <w:ind w:left="720"/>
      <w:contextualSpacing/>
    </w:pPr>
  </w:style>
  <w:style w:type="character" w:customStyle="1" w:styleId="Heading1Char">
    <w:name w:val="Heading 1 Char"/>
    <w:basedOn w:val="DefaultParagraphFont"/>
    <w:link w:val="Heading1"/>
    <w:uiPriority w:val="9"/>
    <w:rsid w:val="009A02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0235"/>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9A0235"/>
  </w:style>
  <w:style w:type="paragraph" w:customStyle="1" w:styleId="defaultstyle">
    <w:name w:val="default style"/>
    <w:basedOn w:val="Normal"/>
    <w:uiPriority w:val="99"/>
    <w:rsid w:val="009A0235"/>
    <w:pPr>
      <w:spacing w:after="120" w:line="276" w:lineRule="auto"/>
      <w:contextualSpacing/>
    </w:pPr>
    <w:rPr>
      <w:rFonts w:ascii="Arial" w:hAnsi="Arial" w:cs="Arial"/>
      <w:color w:val="00000A"/>
    </w:rPr>
  </w:style>
  <w:style w:type="paragraph" w:styleId="Header">
    <w:name w:val="header"/>
    <w:basedOn w:val="Normal"/>
    <w:link w:val="HeaderChar"/>
    <w:uiPriority w:val="99"/>
    <w:unhideWhenUsed/>
    <w:rsid w:val="005B5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C3"/>
  </w:style>
  <w:style w:type="paragraph" w:styleId="Footer">
    <w:name w:val="footer"/>
    <w:basedOn w:val="Normal"/>
    <w:link w:val="FooterChar"/>
    <w:uiPriority w:val="99"/>
    <w:unhideWhenUsed/>
    <w:rsid w:val="005B5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C3"/>
  </w:style>
  <w:style w:type="character" w:styleId="CommentReference">
    <w:name w:val="annotation reference"/>
    <w:basedOn w:val="DefaultParagraphFont"/>
    <w:uiPriority w:val="99"/>
    <w:semiHidden/>
    <w:unhideWhenUsed/>
    <w:rsid w:val="00E05F73"/>
    <w:rPr>
      <w:sz w:val="16"/>
      <w:szCs w:val="16"/>
    </w:rPr>
  </w:style>
  <w:style w:type="paragraph" w:styleId="CommentText">
    <w:name w:val="annotation text"/>
    <w:basedOn w:val="Normal"/>
    <w:link w:val="CommentTextChar"/>
    <w:uiPriority w:val="99"/>
    <w:semiHidden/>
    <w:unhideWhenUsed/>
    <w:rsid w:val="00E05F73"/>
    <w:pPr>
      <w:spacing w:line="240" w:lineRule="auto"/>
    </w:pPr>
    <w:rPr>
      <w:sz w:val="20"/>
      <w:szCs w:val="20"/>
    </w:rPr>
  </w:style>
  <w:style w:type="character" w:customStyle="1" w:styleId="CommentTextChar">
    <w:name w:val="Comment Text Char"/>
    <w:basedOn w:val="DefaultParagraphFont"/>
    <w:link w:val="CommentText"/>
    <w:uiPriority w:val="99"/>
    <w:semiHidden/>
    <w:rsid w:val="00E05F73"/>
    <w:rPr>
      <w:sz w:val="20"/>
      <w:szCs w:val="20"/>
    </w:rPr>
  </w:style>
  <w:style w:type="paragraph" w:styleId="BalloonText">
    <w:name w:val="Balloon Text"/>
    <w:basedOn w:val="Normal"/>
    <w:link w:val="BalloonTextChar"/>
    <w:uiPriority w:val="99"/>
    <w:semiHidden/>
    <w:unhideWhenUsed/>
    <w:rsid w:val="00E05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F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0EFF"/>
    <w:rPr>
      <w:b/>
      <w:bCs/>
    </w:rPr>
  </w:style>
  <w:style w:type="character" w:customStyle="1" w:styleId="CommentSubjectChar">
    <w:name w:val="Comment Subject Char"/>
    <w:basedOn w:val="CommentTextChar"/>
    <w:link w:val="CommentSubject"/>
    <w:uiPriority w:val="99"/>
    <w:semiHidden/>
    <w:rsid w:val="00230EFF"/>
    <w:rPr>
      <w:b/>
      <w:bCs/>
      <w:sz w:val="20"/>
      <w:szCs w:val="20"/>
    </w:rPr>
  </w:style>
  <w:style w:type="table" w:customStyle="1" w:styleId="TableGrid1">
    <w:name w:val="Table Grid1"/>
    <w:basedOn w:val="TableNormal"/>
    <w:next w:val="TableGrid"/>
    <w:uiPriority w:val="39"/>
    <w:rsid w:val="00B3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90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7B3B-79B7-42F6-810B-940D354E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3475</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Giorgi CHAPIDZE</cp:lastModifiedBy>
  <cp:revision>7</cp:revision>
  <dcterms:created xsi:type="dcterms:W3CDTF">2020-08-06T09:19:00Z</dcterms:created>
  <dcterms:modified xsi:type="dcterms:W3CDTF">2020-08-10T12:36:00Z</dcterms:modified>
</cp:coreProperties>
</file>